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pStyle w:val="Title"/>
        <w:spacing w:after="360"/>
        <w:jc w:val="center"/>
      </w:pPr>
      <w:r>
        <w:rPr>
          <w:rFonts w:ascii="微软雅黑" w:hAnsi="微软雅黑" w:eastAsia="微软雅黑"/>
          <w:b/>
          <w:color w:val="1F4E78"/>
          <w:sz w:val="60"/>
        </w:rPr>
        <w:t>志愿通数据审核系统</w:t>
        <w:br/>
        <w:t>使用手册</w:t>
      </w:r>
    </w:p>
    <w:p>
      <w:pPr>
        <w:spacing w:after="560"/>
        <w:jc w:val="center"/>
      </w:pPr>
      <w:r>
        <w:rPr>
          <w:rFonts w:ascii="微软雅黑" w:hAnsi="微软雅黑" w:eastAsia="微软雅黑"/>
          <w:color w:val="666666"/>
          <w:sz w:val="26"/>
        </w:rPr>
        <w:t>数据查看 · 来源追溯 · 逐条审核 · 覆盖管理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170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文档信息</w:t>
            </w:r>
          </w:p>
        </w:tc>
        <w:tc>
          <w:tcPr>
            <w:tcW w:type="dxa" w:w="708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文档版本</w:t>
            </w:r>
          </w:p>
        </w:tc>
        <w:tc>
          <w:tcPr>
            <w:tcW w:type="dxa" w:w="708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V1.0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适用系统</w:t>
            </w:r>
          </w:p>
        </w:tc>
        <w:tc>
          <w:tcPr>
            <w:tcW w:type="dxa" w:w="708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志愿通数据审核系统（本地审核环境）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适用角色</w:t>
            </w:r>
          </w:p>
        </w:tc>
        <w:tc>
          <w:tcPr>
            <w:tcW w:type="dxa" w:w="708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数据采集、数据审核、产品运营、项目管理人员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编制日期</w:t>
            </w:r>
          </w:p>
        </w:tc>
        <w:tc>
          <w:tcPr>
            <w:tcW w:type="dxa" w:w="708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20"/>
              </w:rPr>
              <w:t>2026年9月6日</w:t>
            </w:r>
          </w:p>
        </w:tc>
      </w:tr>
    </w:tbl>
    <w:p>
      <w:pPr>
        <w:spacing w:after="0"/>
      </w:pPr>
    </w:p>
    <w:p/>
    <w:p>
      <w:pPr>
        <w:spacing w:before="360"/>
        <w:jc w:val="center"/>
      </w:pPr>
      <w:r>
        <w:rPr>
          <w:rFonts w:ascii="微软雅黑" w:hAnsi="微软雅黑" w:eastAsia="微软雅黑"/>
          <w:b/>
          <w:color w:val="666666"/>
          <w:sz w:val="20"/>
        </w:rPr>
        <w:t>内部使用文档</w:t>
      </w:r>
    </w:p>
    <w:p>
      <w:r>
        <w:br w:type="page"/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目录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本手册按实际使用顺序组织，既可从头阅读，也可直接定位到具体数据集。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43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章节</w:t>
            </w:r>
          </w:p>
        </w:tc>
        <w:tc>
          <w:tcPr>
            <w:tcW w:type="dxa" w:w="635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主要内容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1. 文档说明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使用范围、角色、基本原则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2. 快速开始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访问系统、完成一次审核的最短路径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3. 首页与导航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数据总览、左侧菜单、指标含义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4. 省份与年份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采集矩阵、灰色状态、范围页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5. 通用查询与详情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筛选、分页、详情抽屉、来源追溯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6. 审核操作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状态选择、审核人、备注、审计日志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7. 数据集审核要点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院校、计划、分数、覆盖、来源等分类规则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8. 推荐审核流程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按依赖关系组织审核批次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9. 覆盖与来源管理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覆盖口径、来源类型、网页与哈希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10. 常见场景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按省年审核、定位异常、核对分数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11. 故障排查与常见问题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连接、空列表、保存失败、性能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附录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状态、字段和审核记录用语</w:t>
            </w:r>
          </w:p>
        </w:tc>
      </w:tr>
    </w:tbl>
    <w:p>
      <w:pPr>
        <w:spacing w:after="0"/>
      </w:pP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1. 文档说明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1.1 使用范围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本系统用于查看高校基础库及各省高考招录数据，核对来源和字段，并保存审核结论。它覆盖全国院校、批次与段次、计划发布批次、院校专业组、专业招生计划、专业录取线、一分一段、省级控制线、院校投档线、覆盖与缺口、来源档案等数据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1.2 角色与职责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53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4025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主要职责</w:t>
            </w:r>
          </w:p>
        </w:tc>
        <w:tc>
          <w:tcPr>
            <w:tcW w:type="dxa" w:w="323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建议权限边界</w:t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采集人员</w:t>
            </w:r>
          </w:p>
        </w:tc>
        <w:tc>
          <w:tcPr>
            <w:tcW w:type="dxa" w:w="402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登记来源、导入数据、补充覆盖说明</w:t>
            </w:r>
          </w:p>
        </w:tc>
        <w:tc>
          <w:tcPr>
            <w:tcW w:type="dxa" w:w="32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不替代审核人员给出最终业务判断</w:t>
            </w:r>
          </w:p>
        </w:tc>
      </w:tr>
      <w:tr>
        <w:trPr>
          <w:cantSplit/>
        </w:trPr>
        <w:tc>
          <w:tcPr>
            <w:tcW w:type="dxa" w:w="15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审核人员</w:t>
            </w:r>
          </w:p>
        </w:tc>
        <w:tc>
          <w:tcPr>
            <w:tcW w:type="dxa" w:w="402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核对字段、来源、匹配关系并提交结论</w:t>
            </w:r>
          </w:p>
        </w:tc>
        <w:tc>
          <w:tcPr>
            <w:tcW w:type="dxa" w:w="32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按可验证事实审核，疑点标记“需复核”</w:t>
            </w:r>
          </w:p>
        </w:tc>
      </w:tr>
      <w:tr>
        <w:trPr>
          <w:cantSplit/>
        </w:trPr>
        <w:tc>
          <w:tcPr>
            <w:tcW w:type="dxa" w:w="15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产品/运营</w:t>
            </w:r>
          </w:p>
        </w:tc>
        <w:tc>
          <w:tcPr>
            <w:tcW w:type="dxa" w:w="402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查看覆盖率、缺口和审核进度</w:t>
            </w:r>
          </w:p>
        </w:tc>
        <w:tc>
          <w:tcPr>
            <w:tcW w:type="dxa" w:w="32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不直接改写原始采集事实</w:t>
            </w:r>
          </w:p>
        </w:tc>
      </w:tr>
      <w:tr>
        <w:trPr>
          <w:cantSplit/>
        </w:trPr>
        <w:tc>
          <w:tcPr>
            <w:tcW w:type="dxa" w:w="15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项目管理员</w:t>
            </w:r>
          </w:p>
        </w:tc>
        <w:tc>
          <w:tcPr>
            <w:tcW w:type="dxa" w:w="402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维护运行环境、账号和数据任务</w:t>
            </w:r>
          </w:p>
        </w:tc>
        <w:tc>
          <w:tcPr>
            <w:tcW w:type="dxa" w:w="32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定期备份数据库与来源文件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1.3 三条基本原则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来源优先：分数、位次、计划数等关键值必须能回溯到来源档案或官方页面。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不猜测缺失值：页面中的“—”、空值和“未标注”表示源数据未提供或当前未解析，不应凭经验补写。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审核与原始数据分离：提交审核只更新审核状态并新增审计记录，不会改写原始采集数据。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2. 快速开始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2.1 访问条件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75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289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默认值</w:t>
            </w:r>
          </w:p>
        </w:tc>
        <w:tc>
          <w:tcPr>
            <w:tcW w:type="dxa" w:w="4139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检查方法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前端地址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http://127.0.0.1:5173</w:t>
            </w:r>
          </w:p>
        </w:tc>
        <w:tc>
          <w:tcPr>
            <w:tcW w:type="dxa" w:w="413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浏览器打开后应显示数据总览</w:t>
            </w:r>
          </w:p>
        </w:tc>
      </w:tr>
      <w:tr>
        <w:trPr>
          <w:cantSplit/>
        </w:trPr>
        <w:tc>
          <w:tcPr>
            <w:tcW w:type="dxa" w:w="175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后端服务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http://127.0.0.1:8080</w:t>
            </w:r>
          </w:p>
        </w:tc>
        <w:tc>
          <w:tcPr>
            <w:tcW w:type="dxa" w:w="4139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前端能显示统计卡片和列表即表示通信正常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数据库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MySQL 3306</w:t>
            </w:r>
          </w:p>
        </w:tc>
        <w:tc>
          <w:tcPr>
            <w:tcW w:type="dxa" w:w="4139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列表查询和审核保存均依赖数据库</w:t>
            </w:r>
          </w:p>
        </w:tc>
      </w:tr>
      <w:tr>
        <w:trPr>
          <w:cantSplit/>
        </w:trPr>
        <w:tc>
          <w:tcPr>
            <w:tcW w:type="dxa" w:w="175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推荐浏览器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Chrome / Edge 最新稳定版</w:t>
            </w:r>
          </w:p>
        </w:tc>
        <w:tc>
          <w:tcPr>
            <w:tcW w:type="dxa" w:w="4139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建议窗口宽度不低于 1280 像素</w:t>
            </w:r>
          </w:p>
        </w:tc>
      </w:tr>
    </w:tbl>
    <w:p>
      <w:pPr>
        <w:spacing w:after="0"/>
      </w:pPr>
    </w:p>
    <w:p>
      <w:pPr>
        <w:spacing w:before="60" w:after="100" w:line="293" w:lineRule="auto"/>
      </w:pPr>
      <w:r>
        <w:rPr>
          <w:rFonts w:ascii="微软雅黑" w:hAnsi="微软雅黑" w:eastAsia="微软雅黑"/>
          <w:b/>
          <w:color w:val="1F4E78"/>
          <w:sz w:val="20"/>
        </w:rPr>
        <w:t>提示：</w:t>
      </w:r>
      <w:r>
        <w:rPr>
          <w:rFonts w:ascii="微软雅黑" w:hAnsi="微软雅黑" w:eastAsia="微软雅黑"/>
          <w:color w:val="111111"/>
          <w:sz w:val="20"/>
        </w:rPr>
        <w:t>如果首页能打开但所有统计均为 0，通常是后端或数据库未连接，而不是系统真的没有数据。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2.2 完成一次审核的最短路径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进入“省份与年份”，选择目标年份和省份。绿色或蓝色通常表示已有数据；灰色表示尚未收集。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进入范围页后，选择需要审核的数据集，例如“省级控制线”或“院校投档线”。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使用关键词、科类、批次、分数范围和审核状态等条件缩小列表。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点击行或“详情”，核对完整字段、来源标题、来源地址、稳定 ID 和历史审核记录。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点击“审核”，选择结论，填写审核人；存在疑点时填写可复现的备注并保存。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2.3 第一次使用建议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先浏览“数据总览”和“覆盖与缺口”，了解当前采集范围，再开始逐条审核。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优先从一个省份、一个年份、一个数据集开始，避免审核上下文混淆。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首次提交时认真填写审核人姓名；系统会在当前浏览器中记住，后续仍可修改。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3. 首页与导航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286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dashboa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微软雅黑" w:hAnsi="微软雅黑" w:eastAsia="微软雅黑"/>
          <w:color w:val="666666"/>
          <w:sz w:val="17"/>
        </w:rPr>
        <w:t>图 1  数据总览：首页集中显示数据规模、匹配质量与覆盖概况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3.1 统计卡片怎么读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首页统计卡片是当前数据库的即时汇总。截图时可见全国院校 2,988 所、院校专业组 200,185 条、专业招生计划 868,304 条、专业录取线 432,005 条、院校投档线 74,978 条、2025 一分一段 28,010 条、2025 省控线 257 条。数量会随重新导入、补采和数据治理而变化。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323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28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重点关注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院校/专业组/计划/分数线数量</w:t>
            </w:r>
          </w:p>
        </w:tc>
        <w:tc>
          <w:tcPr>
            <w:tcW w:type="dxa" w:w="32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判断数据规模与导入结果</w:t>
            </w:r>
          </w:p>
        </w:tc>
        <w:tc>
          <w:tcPr>
            <w:tcW w:type="dxa" w:w="32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异常突增、突减或长期为 0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未匹配投档线</w:t>
            </w:r>
          </w:p>
        </w:tc>
        <w:tc>
          <w:tcPr>
            <w:tcW w:type="dxa" w:w="32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发现无法关联到院校基础库的记录</w:t>
            </w:r>
          </w:p>
        </w:tc>
        <w:tc>
          <w:tcPr>
            <w:tcW w:type="dxa" w:w="328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应优先完成学校代码和名称映射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待审核业务记录</w:t>
            </w:r>
          </w:p>
        </w:tc>
        <w:tc>
          <w:tcPr>
            <w:tcW w:type="dxa" w:w="32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评估审核工作量</w:t>
            </w:r>
          </w:p>
        </w:tc>
        <w:tc>
          <w:tcPr>
            <w:tcW w:type="dxa" w:w="32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只表示当前审核状态，不等同于数据缺失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匹配质量</w:t>
            </w:r>
          </w:p>
        </w:tc>
        <w:tc>
          <w:tcPr>
            <w:tcW w:type="dxa" w:w="323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查看稳定 ID 关联情况</w:t>
            </w:r>
          </w:p>
        </w:tc>
        <w:tc>
          <w:tcPr>
            <w:tcW w:type="dxa" w:w="328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未匹配项需追查代码、别名、年份口径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最近覆盖状态</w:t>
            </w:r>
          </w:p>
        </w:tc>
        <w:tc>
          <w:tcPr>
            <w:tcW w:type="dxa" w:w="323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快速查看省年数据覆盖</w:t>
            </w:r>
          </w:p>
        </w:tc>
        <w:tc>
          <w:tcPr>
            <w:tcW w:type="dxa" w:w="32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部分覆盖和暂无公开全量需阅读备注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3.2 左侧导航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41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分组</w:t>
            </w:r>
          </w:p>
        </w:tc>
        <w:tc>
          <w:tcPr>
            <w:tcW w:type="dxa" w:w="294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菜单</w:t>
            </w:r>
          </w:p>
        </w:tc>
        <w:tc>
          <w:tcPr>
            <w:tcW w:type="dxa" w:w="4422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作用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工作台</w:t>
            </w:r>
          </w:p>
        </w:tc>
        <w:tc>
          <w:tcPr>
            <w:tcW w:type="dxa" w:w="29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数据总览</w:t>
            </w:r>
          </w:p>
        </w:tc>
        <w:tc>
          <w:tcPr>
            <w:tcW w:type="dxa" w:w="442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全局数据量、匹配质量、覆盖状态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工作台</w:t>
            </w:r>
          </w:p>
        </w:tc>
        <w:tc>
          <w:tcPr>
            <w:tcW w:type="dxa" w:w="294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省份与年份</w:t>
            </w:r>
          </w:p>
        </w:tc>
        <w:tc>
          <w:tcPr>
            <w:tcW w:type="dxa" w:w="442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按 31 个省级地区和年份切换审核范围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工作台</w:t>
            </w:r>
          </w:p>
        </w:tc>
        <w:tc>
          <w:tcPr>
            <w:tcW w:type="dxa" w:w="29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审核工作台</w:t>
            </w:r>
          </w:p>
        </w:tc>
        <w:tc>
          <w:tcPr>
            <w:tcW w:type="dxa" w:w="442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集中进入各类待审核业务数据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院校基础库</w:t>
            </w:r>
          </w:p>
        </w:tc>
        <w:tc>
          <w:tcPr>
            <w:tcW w:type="dxa" w:w="294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全国院校</w:t>
            </w:r>
          </w:p>
        </w:tc>
        <w:tc>
          <w:tcPr>
            <w:tcW w:type="dxa" w:w="442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审核学校稳定 ID、教育层次、主管部门等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各省招录</w:t>
            </w:r>
          </w:p>
        </w:tc>
        <w:tc>
          <w:tcPr>
            <w:tcW w:type="dxa" w:w="29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批次/发布批次/专业组/计划/录取线/一分一段/省控线/投档线</w:t>
            </w:r>
          </w:p>
        </w:tc>
        <w:tc>
          <w:tcPr>
            <w:tcW w:type="dxa" w:w="442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查看和审核各省招录业务数据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数据治理</w:t>
            </w:r>
          </w:p>
        </w:tc>
        <w:tc>
          <w:tcPr>
            <w:tcW w:type="dxa" w:w="294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覆盖与缺口</w:t>
            </w:r>
          </w:p>
        </w:tc>
        <w:tc>
          <w:tcPr>
            <w:tcW w:type="dxa" w:w="442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记录公开数据可得性、采集范围和缺口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数据治理</w:t>
            </w:r>
          </w:p>
        </w:tc>
        <w:tc>
          <w:tcPr>
            <w:tcW w:type="dxa" w:w="29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来源档案</w:t>
            </w:r>
          </w:p>
        </w:tc>
        <w:tc>
          <w:tcPr>
            <w:tcW w:type="dxa" w:w="442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核对来源发布方、标题、日期、网页和文件哈希</w:t>
            </w:r>
          </w:p>
        </w:tc>
      </w:tr>
    </w:tbl>
    <w:p>
      <w:pPr>
        <w:spacing w:after="0"/>
      </w:pP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4. 省份与年份分类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286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cop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微软雅黑" w:hAnsi="微软雅黑" w:eastAsia="微软雅黑"/>
          <w:color w:val="666666"/>
          <w:sz w:val="17"/>
        </w:rPr>
        <w:t>图 2  省份与年份矩阵：尚未收集的省份和年份以灰色显示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4.1 状态颜色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41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显示状态</w:t>
            </w:r>
          </w:p>
        </w:tc>
        <w:tc>
          <w:tcPr>
            <w:tcW w:type="dxa" w:w="141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常见颜色</w:t>
            </w:r>
          </w:p>
        </w:tc>
        <w:tc>
          <w:tcPr>
            <w:tcW w:type="dxa" w:w="328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含义</w:t>
            </w:r>
          </w:p>
        </w:tc>
        <w:tc>
          <w:tcPr>
            <w:tcW w:type="dxa" w:w="2665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审核动作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未收集</w:t>
            </w:r>
          </w:p>
        </w:tc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灰色</w:t>
            </w:r>
          </w:p>
        </w:tc>
        <w:tc>
          <w:tcPr>
            <w:tcW w:type="dxa" w:w="32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当前省份与年份尚无业务数据</w:t>
            </w:r>
          </w:p>
        </w:tc>
        <w:tc>
          <w:tcPr>
            <w:tcW w:type="dxa" w:w="26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不要误判为查询错误；记录采集任务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部分采集</w:t>
            </w:r>
          </w:p>
        </w:tc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黄色</w:t>
            </w:r>
          </w:p>
        </w:tc>
        <w:tc>
          <w:tcPr>
            <w:tcW w:type="dxa" w:w="328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已有部分数据，但品类、批次或覆盖范围不完整</w:t>
            </w:r>
          </w:p>
        </w:tc>
        <w:tc>
          <w:tcPr>
            <w:tcW w:type="dxa" w:w="266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进入范围页阅读覆盖说明并确认缺口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已采集</w:t>
            </w:r>
          </w:p>
        </w:tc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绿色</w:t>
            </w:r>
          </w:p>
        </w:tc>
        <w:tc>
          <w:tcPr>
            <w:tcW w:type="dxa" w:w="32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目标范围已有可审核数据</w:t>
            </w:r>
          </w:p>
        </w:tc>
        <w:tc>
          <w:tcPr>
            <w:tcW w:type="dxa" w:w="266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开始逐数据集核验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已核验</w:t>
            </w:r>
          </w:p>
        </w:tc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蓝色</w:t>
            </w:r>
          </w:p>
        </w:tc>
        <w:tc>
          <w:tcPr>
            <w:tcW w:type="dxa" w:w="328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该范围已完成既定核验</w:t>
            </w:r>
          </w:p>
        </w:tc>
        <w:tc>
          <w:tcPr>
            <w:tcW w:type="dxa" w:w="266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必要时抽检来源与最新变更</w:t>
            </w:r>
          </w:p>
        </w:tc>
      </w:tr>
    </w:tbl>
    <w:p>
      <w:pPr>
        <w:spacing w:after="0"/>
      </w:pPr>
    </w:p>
    <w:p>
      <w:pPr>
        <w:spacing w:before="60" w:after="100" w:line="293" w:lineRule="auto"/>
      </w:pPr>
      <w:r>
        <w:rPr>
          <w:rFonts w:ascii="微软雅黑" w:hAnsi="微软雅黑" w:eastAsia="微软雅黑"/>
          <w:b/>
          <w:color w:val="1F4E78"/>
          <w:sz w:val="20"/>
        </w:rPr>
        <w:t>特别说明：</w:t>
      </w:r>
      <w:r>
        <w:rPr>
          <w:rFonts w:ascii="微软雅黑" w:hAnsi="微软雅黑" w:eastAsia="微软雅黑"/>
          <w:color w:val="111111"/>
          <w:sz w:val="20"/>
        </w:rPr>
        <w:t>灰色只表示当前系统尚未收集，不代表该省份或年份没有公开数据；黄色也不代表数据错误，只说明覆盖仍不完整。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4.2 使用步骤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在页面顶部选择年份。系统当前可展示 2022—2026 等年度，具体可用数据以卡片颜色为准。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点击省份卡片进入该省、该年的范围页。后续打开的数据页会继承省份和年份上下文。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查看范围页中的各数据集数量卡片。数量为 0 的类别表示此省年当前没有该类记录。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从批次规则、专业组、计划、分数、覆盖和来源等入口进入具体列表。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4.3 范围页的九类数据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652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主要回答的问题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批次与段次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本省当年如何划分批次、段次和志愿模式？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计划发布批次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哪一版招生计划、哪一轮次、何时发布？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院校专业组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院校代码、专业组代码和选科要求如何组织？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专业招生计划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每个专业计划招生多少人，有何选科与备注？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专业录取线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专业最低分、位次、最高分、平均分和录取人数是多少？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一分一段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某分数同分人数、累计人数和位次区间是多少？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省级控制线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不同科类和层次的文化/专业控制线是多少？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院校投档线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院校或专业组的投档分、位次和志愿序号是多少？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覆盖与缺口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公开数据是否完整、已采集多少、缺什么？</w:t>
            </w:r>
          </w:p>
        </w:tc>
      </w:tr>
    </w:tbl>
    <w:p>
      <w:pPr>
        <w:spacing w:after="0"/>
      </w:pP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5. 通用查询、列表与详情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5.1 筛选区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不同数据页会按业务配置不同条件，但操作方式一致。输入关键词后可按 Enter 或点击“查询”；更改多个条件后再查询，可组合缩小范围。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70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筛选类型</w:t>
            </w:r>
          </w:p>
        </w:tc>
        <w:tc>
          <w:tcPr>
            <w:tcW w:type="dxa" w:w="289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示例</w:t>
            </w:r>
          </w:p>
        </w:tc>
        <w:tc>
          <w:tcPr>
            <w:tcW w:type="dxa" w:w="4195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使用建议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省份/年份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甘肃、2025</w:t>
            </w:r>
          </w:p>
        </w:tc>
        <w:tc>
          <w:tcPr>
            <w:tcW w:type="dxa" w:w="419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先固定省年，避免跨口径比较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关键词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院校名、院校代码、专业名、组代码、发布方、哈希</w:t>
            </w:r>
          </w:p>
        </w:tc>
        <w:tc>
          <w:tcPr>
            <w:tcW w:type="dxa" w:w="419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代码优先精确，名称可做模糊查找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业务枚举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科类、教育层次、批次、段次、所有制</w:t>
            </w:r>
          </w:p>
        </w:tc>
        <w:tc>
          <w:tcPr>
            <w:tcW w:type="dxa" w:w="419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用于批量定位同一口径记录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分数范围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最低分至最高分</w:t>
            </w:r>
          </w:p>
        </w:tc>
        <w:tc>
          <w:tcPr>
            <w:tcW w:type="dxa" w:w="419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排查极值、控制线附近或特定分段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匹配状态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已匹配/未匹配</w:t>
            </w:r>
          </w:p>
        </w:tc>
        <w:tc>
          <w:tcPr>
            <w:tcW w:type="dxa" w:w="419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优先处理缺少稳定 ID 的记录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审核状态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待审核/已通过/需复核/已驳回</w:t>
            </w:r>
          </w:p>
        </w:tc>
        <w:tc>
          <w:tcPr>
            <w:tcW w:type="dxa" w:w="419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复查时切换到特定结论</w:t>
            </w:r>
          </w:p>
        </w:tc>
      </w:tr>
    </w:tbl>
    <w:p>
      <w:pPr>
        <w:spacing w:after="0"/>
      </w:pP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重置：清空当前页的筛选条件并恢复默认范围。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刷新：重新从后端读取当前条件下的数据，适合审核保存或数据重新导入后使用。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分页：支持 20、50、100、200 条/页。大页适合扫查，小页更适合逐条审核。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5.2 列表操作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点击整行或“详情”打开详情抽屉；列表只展示高频字段，详情中可查看完整字段。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列表中的“稳定 ID”用于跨来源关联；缺失时应检查外部代码、院校别名或年份差异。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遇到长文本、备注或复合分值时，以详情中的完整值和来源页面为准。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5.3 详情抽屉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详情抽屉通常包含业务字段、内部稳定 ID、来源标题、来源地址、当前审核状态和审核历史。全国院校详情还可能展示外部代码映射、历史名称和校区。</w:t>
      </w:r>
    </w:p>
    <w:p>
      <w:pPr>
        <w:spacing w:before="60" w:after="100" w:line="293" w:lineRule="auto"/>
      </w:pPr>
      <w:r>
        <w:rPr>
          <w:rFonts w:ascii="微软雅黑" w:hAnsi="微软雅黑" w:eastAsia="微软雅黑"/>
          <w:b/>
          <w:color w:val="1F4E78"/>
          <w:sz w:val="20"/>
        </w:rPr>
        <w:t>核对顺序：</w:t>
      </w:r>
      <w:r>
        <w:rPr>
          <w:rFonts w:ascii="微软雅黑" w:hAnsi="微软雅黑" w:eastAsia="微软雅黑"/>
          <w:color w:val="111111"/>
          <w:sz w:val="20"/>
        </w:rPr>
        <w:t>先确认省份、年份、科类和批次上下文，再看院校/专业标识，然后核对分数、位次和计划数，最后打开来源页面确认。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6. 审核操作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6.1 四种审核状态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41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状态</w:t>
            </w:r>
          </w:p>
        </w:tc>
        <w:tc>
          <w:tcPr>
            <w:tcW w:type="dxa" w:w="3572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何时使用</w:t>
            </w:r>
          </w:p>
        </w:tc>
        <w:tc>
          <w:tcPr>
            <w:tcW w:type="dxa" w:w="379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备注建议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待审核</w:t>
            </w:r>
          </w:p>
        </w:tc>
        <w:tc>
          <w:tcPr>
            <w:tcW w:type="dxa" w:w="357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尚未形成审核结论，或需要撤回到待处理</w:t>
            </w:r>
          </w:p>
        </w:tc>
        <w:tc>
          <w:tcPr>
            <w:tcW w:type="dxa" w:w="379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说明撤回原因或下一步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已通过</w:t>
            </w:r>
          </w:p>
        </w:tc>
        <w:tc>
          <w:tcPr>
            <w:tcW w:type="dxa" w:w="357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字段、口径、来源和关联关系均可验证</w:t>
            </w:r>
          </w:p>
        </w:tc>
        <w:tc>
          <w:tcPr>
            <w:tcW w:type="dxa" w:w="379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可简写核对依据，关键记录建议写来源日期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需复核</w:t>
            </w:r>
          </w:p>
        </w:tc>
        <w:tc>
          <w:tcPr>
            <w:tcW w:type="dxa" w:w="357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存在疑点，但证据不足以判断为错误</w:t>
            </w:r>
          </w:p>
        </w:tc>
        <w:tc>
          <w:tcPr>
            <w:tcW w:type="dxa" w:w="379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明确疑点字段、当前值、来源和建议复核动作</w:t>
            </w:r>
          </w:p>
        </w:tc>
      </w:tr>
      <w:tr>
        <w:trPr>
          <w:cantSplit/>
        </w:trPr>
        <w:tc>
          <w:tcPr>
            <w:tcW w:type="dxa" w:w="1417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已驳回</w:t>
            </w:r>
          </w:p>
        </w:tc>
        <w:tc>
          <w:tcPr>
            <w:tcW w:type="dxa" w:w="357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确认存在错误、错源、错年、错省、重复或不可用记录</w:t>
            </w:r>
          </w:p>
        </w:tc>
        <w:tc>
          <w:tcPr>
            <w:tcW w:type="dxa" w:w="379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写清错误事实和正确依据，便于后续修复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6.2 提交审核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在列表点击“审核”，或先打开详情后点击“审核这条数据”。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选择审核状态。没有充分证据时使用“需复核”，不要直接“已驳回”。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填写审核人。该字段必填；系统会在当前浏览器中记住最近一次填写值。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填写审核备注，最多 2,000 个字符。对关键数据和异常结论，建议记录可复现依据。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点击保存。成功后当前状态被更新，同时新增一条带时间的审核日志。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6. </w:t>
      </w:r>
      <w:r>
        <w:rPr>
          <w:rFonts w:ascii="微软雅黑" w:hAnsi="微软雅黑" w:eastAsia="微软雅黑"/>
          <w:color w:val="111111"/>
          <w:sz w:val="20"/>
        </w:rPr>
        <w:t>返回列表或刷新，确认状态和筛选结果已变化。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6.3 审核记录机制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系统将当前审核结果保存在审核记录中，并把每次操作追加到审计日志。详情页按时间倒序展示历史，便于判断一条记录经历过哪些结论。审核操作不会直接修改院校、计划、分数线、来源等原始业务字段。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6.4 推荐备注格式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1814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场景</w:t>
            </w:r>
          </w:p>
        </w:tc>
        <w:tc>
          <w:tcPr>
            <w:tcW w:type="dxa" w:w="6973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示例写法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已通过</w:t>
            </w:r>
          </w:p>
        </w:tc>
        <w:tc>
          <w:tcPr>
            <w:tcW w:type="dxa" w:w="697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已核对省教育考试院 2025-06-25 发布页面，科类、分数和位次一致。</w:t>
            </w:r>
          </w:p>
        </w:tc>
      </w:tr>
      <w:tr>
        <w:trPr>
          <w:cantSplit/>
        </w:trPr>
        <w:tc>
          <w:tcPr>
            <w:tcW w:type="dxa" w:w="1814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需复核</w:t>
            </w:r>
          </w:p>
        </w:tc>
        <w:tc>
          <w:tcPr>
            <w:tcW w:type="dxa" w:w="6973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最低分一致，但原网页未给出最低位次；请核对附件表第 3 页。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已驳回</w:t>
            </w:r>
          </w:p>
        </w:tc>
        <w:tc>
          <w:tcPr>
            <w:tcW w:type="dxa" w:w="697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院校代码属于 2024 年旧代码，本记录错误套用到 2025 年；应重新映射。</w:t>
            </w:r>
          </w:p>
        </w:tc>
      </w:tr>
      <w:tr>
        <w:trPr>
          <w:cantSplit/>
        </w:trPr>
        <w:tc>
          <w:tcPr>
            <w:tcW w:type="dxa" w:w="1814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覆盖说明</w:t>
            </w:r>
          </w:p>
        </w:tc>
        <w:tc>
          <w:tcPr>
            <w:tcW w:type="dxa" w:w="6973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当前仅采集普通类本科批，艺术类和征集志愿尚缺。</w:t>
            </w:r>
          </w:p>
        </w:tc>
      </w:tr>
    </w:tbl>
    <w:p>
      <w:pPr>
        <w:spacing w:after="0"/>
      </w:pP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7. 数据集审核要点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7.1 全国院校基础库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38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重点字段</w:t>
            </w:r>
          </w:p>
        </w:tc>
        <w:tc>
          <w:tcPr>
            <w:tcW w:type="dxa" w:w="6406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核验要点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教育部院校代码</w:t>
            </w:r>
          </w:p>
        </w:tc>
        <w:tc>
          <w:tcPr>
            <w:tcW w:type="dxa" w:w="640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应保持稳定并与学校主体一一对应；不能把招生代码当作教育部代码</w:t>
            </w:r>
          </w:p>
        </w:tc>
      </w:tr>
      <w:tr>
        <w:trPr>
          <w:cantSplit/>
        </w:trPr>
        <w:tc>
          <w:tcPr>
            <w:tcW w:type="dxa" w:w="238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正式名称</w:t>
            </w:r>
          </w:p>
        </w:tc>
        <w:tc>
          <w:tcPr>
            <w:tcW w:type="dxa" w:w="6406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以主管部门或学校官网现行正式名称为准，历史名称进入别名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省份/城市</w:t>
            </w:r>
          </w:p>
        </w:tc>
        <w:tc>
          <w:tcPr>
            <w:tcW w:type="dxa" w:w="640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核对学校主体所在地；多校区可在校区信息中分别记录</w:t>
            </w:r>
          </w:p>
        </w:tc>
      </w:tr>
      <w:tr>
        <w:trPr>
          <w:cantSplit/>
        </w:trPr>
        <w:tc>
          <w:tcPr>
            <w:tcW w:type="dxa" w:w="238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教育层次/所有制/主管部门</w:t>
            </w:r>
          </w:p>
        </w:tc>
        <w:tc>
          <w:tcPr>
            <w:tcW w:type="dxa" w:w="6406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以官方分类口径为准，避免按社会印象推断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外部代码映射</w:t>
            </w:r>
          </w:p>
        </w:tc>
        <w:tc>
          <w:tcPr>
            <w:tcW w:type="dxa" w:w="640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同一学校在不同省年可有不同招生代码，必须带来源和适用范围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7.2 批次与段次、计划发布批次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批次名称、段次、类别、教育层次、志愿模式、最大专业组志愿数、每组最大专业数和征集次数需按当年省级规则核对。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计划发布批次应记录发布标题、轮次、覆盖范围、发布日期和计划数；不同版本不得无依据覆盖。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同名批次在不同年份的规则可能变化，审核时不可沿用上一年度结论。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7.3 院校专业组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652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审核重点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院校代码/名称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确认已映射到正确学校稳定 ID，处理简称、改名和历史代码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专业组代码/名称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核对前导零、字母大小写和当年编排规则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组类型/选科要求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区分普通组、专项、民族班等；选科组合不得自行标准化丢失信息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批次/科类/段次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必须与该省当年招生规则一致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7.4 专业招生计划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核对院校、专业组、专业代码、专业名称、选科要求、计划数和备注。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专业代码可能只在某省某年某批次内有效，不应直接作为全国稳定专业 ID。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计划数应为非负整数；合计校验要以官方发布口径为准，注意专项和征集计划是否另列。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7.5 专业录取线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652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审核重点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最低分/最低位次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优先核对；位次必须使用相同科类和同分规则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最高分/平均分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源未公布时保留空值，不能从最低分推算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录取人数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与招生计划不必完全相等，需考虑扩招、退档、征集等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院校/组/专业稳定 ID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确保分数记录能关联到正确主体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批次/段次/科类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防止普通类、艺术类、专科、本科数据混入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7.6 一分一段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逐分核对分数、同分人数、累计人数、位次起点和位次终点。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累计人数通常应随分数下降而不减少；发现反向跳变、重复分值或缺档时标记“需复核”。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不同科类、赋分口径和综合分必须分开，不能用普通类位次解释艺术类综合分。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7.7 省级控制线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286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control-lin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微软雅黑" w:hAnsi="微软雅黑" w:eastAsia="微软雅黑"/>
          <w:color w:val="666666"/>
          <w:sz w:val="17"/>
        </w:rPr>
        <w:t>图 3  省级控制线：可按科类、层次、分数范围和审核状态筛选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普通类重点核对科类、层次、文化分；艺术体育类还要核对专业分或综合分口径。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复合文本（如文化成绩与体检、专业要求并列）应完整保留到备注，不要强行拆成单一分数。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同一省份同一年可能有特殊类型招生控制线、资格线、段线等，应通过层次和备注区分。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7.8 院校投档线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重点字段</w:t>
            </w:r>
          </w:p>
        </w:tc>
        <w:tc>
          <w:tcPr>
            <w:tcW w:type="dxa" w:w="652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常见风险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院校代码/名称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招生代码变更、简称或合并导致错配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专业组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新高考省份把院校线误当专业组线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投档分/最低位次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分数口径不一致、位次来自错误科类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志愿序号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平行志愿与顺序志愿字段含义不同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稳定 ID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未匹配记录无法可靠关联院校基础库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批次/段次/层次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本科、专科、提前批、征集批混淆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7.9 覆盖与缺口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43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覆盖状态</w:t>
            </w:r>
          </w:p>
        </w:tc>
        <w:tc>
          <w:tcPr>
            <w:tcW w:type="dxa" w:w="635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使用口径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公开完整快照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按当前公开口径已获得完整可用快照，并能说明其范围</w:t>
            </w:r>
          </w:p>
        </w:tc>
      </w:tr>
      <w:tr>
        <w:trPr>
          <w:cantSplit/>
        </w:trPr>
        <w:tc>
          <w:tcPr>
            <w:tcW w:type="dxa" w:w="243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公开部分数据</w:t>
            </w:r>
          </w:p>
        </w:tc>
        <w:tc>
          <w:tcPr>
            <w:tcW w:type="dxa" w:w="635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仅覆盖部分批次、科类、学校、轮次或页面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暂无公开全量</w:t>
            </w:r>
          </w:p>
        </w:tc>
        <w:tc>
          <w:tcPr>
            <w:tcW w:type="dxa" w:w="635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8"/>
              </w:rPr>
              <w:t>未发现可公开获得的全量数据，可能仅有查询页或零散公告</w:t>
            </w:r>
          </w:p>
        </w:tc>
      </w:tr>
    </w:tbl>
    <w:p>
      <w:pPr>
        <w:spacing w:after="0"/>
      </w:pP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记录数是当前导入量，不自动证明“完整”；完整性必须结合发布范围和缺口说明判断。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缺口备注应写清缺的是哪些批次、科类、轮次、文件或字段，而不是只写“数据不全”。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7.10 来源档案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核对来源类型、发布方、标题、发布日期、落地页、文件路径和内容哈希。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同一文件的哈希可用于发现重复导入或内容变更；网页标题相同不代表内容完全一致。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优先官方来源；转载页应标注转载发布方和原始来源，并谨慎用于最终结论。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8. 推荐审核流程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286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revie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微软雅黑" w:hAnsi="微软雅黑" w:eastAsia="微软雅黑"/>
          <w:color w:val="666666"/>
          <w:sz w:val="17"/>
        </w:rPr>
        <w:t>图 4  审核工作台：按数据依赖关系组织审核入口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8.1 为什么要按顺序审核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招录数据之间存在关联：院校基础库和代码映射不可靠，会继续影响专业组、计划、投档线和专业录取线。建议先处理主体与匹配，再处理数量和分数，最后核对覆盖与来源。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70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685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主要任务</w:t>
            </w:r>
          </w:p>
        </w:tc>
        <w:tc>
          <w:tcPr>
            <w:tcW w:type="dxa" w:w="3402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完成判断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1. 主体与代码</w:t>
            </w:r>
          </w:p>
        </w:tc>
        <w:tc>
          <w:tcPr>
            <w:tcW w:type="dxa" w:w="368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全国院校、外部招生代码、别名和校区</w:t>
            </w:r>
          </w:p>
        </w:tc>
        <w:tc>
          <w:tcPr>
            <w:tcW w:type="dxa" w:w="340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学校稳定 ID 清晰，未匹配主体已形成处理结论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2. 结构与规则</w:t>
            </w:r>
          </w:p>
        </w:tc>
        <w:tc>
          <w:tcPr>
            <w:tcW w:type="dxa" w:w="368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批次段次、计划发布批次、院校专业组</w:t>
            </w:r>
          </w:p>
        </w:tc>
        <w:tc>
          <w:tcPr>
            <w:tcW w:type="dxa" w:w="340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省年口径、组代码和选科要求可验证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3. 数量与分数</w:t>
            </w:r>
          </w:p>
        </w:tc>
        <w:tc>
          <w:tcPr>
            <w:tcW w:type="dxa" w:w="368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专业计划、专业录取线、一分一段、省控线、投档线</w:t>
            </w:r>
          </w:p>
        </w:tc>
        <w:tc>
          <w:tcPr>
            <w:tcW w:type="dxa" w:w="340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关键值与来源一致，异常有备注</w:t>
            </w:r>
          </w:p>
        </w:tc>
      </w:tr>
      <w:tr>
        <w:trPr>
          <w:cantSplit/>
        </w:trPr>
        <w:tc>
          <w:tcPr>
            <w:tcW w:type="dxa" w:w="170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4. 覆盖与证据</w:t>
            </w:r>
          </w:p>
        </w:tc>
        <w:tc>
          <w:tcPr>
            <w:tcW w:type="dxa" w:w="368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覆盖缺口、来源档案、内容哈希</w:t>
            </w:r>
          </w:p>
        </w:tc>
        <w:tc>
          <w:tcPr>
            <w:tcW w:type="dxa" w:w="340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每类数据的完整性和证据链均有说明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8.2 每个省年的建议批次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锁定省份和年份，记录本次审核范围、责任人和开始日期。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查看覆盖与缺口，确定有哪些数据集、哪些为空、哪些仅部分覆盖。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先筛选“未匹配”，处理院校和专业组关联问题。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按批次和科类抽样核对计划、控制线、投档线和专业录取线。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检查一分一段的连续性和累计人数逻辑。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6. </w:t>
      </w:r>
      <w:r>
        <w:rPr>
          <w:rFonts w:ascii="微软雅黑" w:hAnsi="微软雅黑" w:eastAsia="微软雅黑"/>
          <w:color w:val="111111"/>
          <w:sz w:val="20"/>
        </w:rPr>
        <w:t>核对来源标题、发布方、日期、网页和哈希，补充缺口备注。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7. </w:t>
      </w:r>
      <w:r>
        <w:rPr>
          <w:rFonts w:ascii="微软雅黑" w:hAnsi="微软雅黑" w:eastAsia="微软雅黑"/>
          <w:color w:val="111111"/>
          <w:sz w:val="20"/>
        </w:rPr>
        <w:t>回到审核状态筛选，确认“需复核”和“已驳回”都有明确的后续动作。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8.3 抽样与全量审核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关键控制线、来源档案、学校映射和异常记录建议逐条审核。数量庞大的计划和录取线可先按来源、批次、科类分层抽样，再对异常值、未匹配项和抽样失败的同批数据扩大检查。当前界面以逐条审核为主；不要把筛选结果误认为已批量改变状态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9. 覆盖与来源管理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9.1 覆盖状态的审核方法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确认省份、年份、数据集、科类和段次是否与备注描述一致。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比较记录数与来源文件/页面的预计规模，注意分页、隐藏行和多个工作表。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若只是部分批次或部分科类，选择“公开部分数据”，并精确写明缺口。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只有在证据显示公开范围已完整纳入时，才使用“公开完整快照”。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未找到全量公开数据时记录检索范围和日期，使用“暂无公开全量”，而不是制造空数据。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9.2 来源档案页面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286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ourc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微软雅黑" w:hAnsi="微软雅黑" w:eastAsia="微软雅黑"/>
          <w:color w:val="666666"/>
          <w:sz w:val="17"/>
        </w:rPr>
        <w:t>图 5  来源档案：集中保存发布方、标题、日期、落地页与内容哈希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324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来源类型</w:t>
            </w:r>
          </w:p>
        </w:tc>
        <w:tc>
          <w:tcPr>
            <w:tcW w:type="dxa" w:w="289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含义</w:t>
            </w:r>
          </w:p>
        </w:tc>
        <w:tc>
          <w:tcPr>
            <w:tcW w:type="dxa" w:w="3572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审核重点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official_xls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官方发布的 Excel/表格文件</w:t>
            </w:r>
          </w:p>
        </w:tc>
        <w:tc>
          <w:tcPr>
            <w:tcW w:type="dxa" w:w="357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文件版本、工作表、发布时间、哈希</w:t>
            </w:r>
          </w:p>
        </w:tc>
      </w:tr>
      <w:tr>
        <w:trPr>
          <w:cantSplit/>
        </w:trPr>
        <w:tc>
          <w:tcPr>
            <w:tcW w:type="dxa" w:w="2324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official_html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官方网页或查询页面</w:t>
            </w:r>
          </w:p>
        </w:tc>
        <w:tc>
          <w:tcPr>
            <w:tcW w:type="dxa" w:w="357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页面标题、发布日期、参数和可访问性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official_republication_html</w:t>
            </w:r>
          </w:p>
        </w:tc>
        <w:tc>
          <w:tcPr>
            <w:tcW w:type="dxa" w:w="289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官方或权威渠道转载的页面</w:t>
            </w:r>
          </w:p>
        </w:tc>
        <w:tc>
          <w:tcPr>
            <w:tcW w:type="dxa" w:w="357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是否保留原始出处，内容是否完整</w:t>
            </w:r>
          </w:p>
        </w:tc>
      </w:tr>
      <w:tr>
        <w:trPr>
          <w:cantSplit/>
        </w:trPr>
        <w:tc>
          <w:tcPr>
            <w:tcW w:type="dxa" w:w="2324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open_dataset_csv</w:t>
            </w:r>
          </w:p>
        </w:tc>
        <w:tc>
          <w:tcPr>
            <w:tcW w:type="dxa" w:w="289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公开数据集 CSV</w:t>
            </w:r>
          </w:p>
        </w:tc>
        <w:tc>
          <w:tcPr>
            <w:tcW w:type="dxa" w:w="357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许可、生成方式、字段映射、与官方口径差异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9.3 来源证据链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一条可靠证据链至少应能回答：谁发布、何时发布、发布了什么、原始网页在哪里、下载文件是哪一版、内容是否发生变化、哪些业务记录由它生成。审核时优先打开落地页；本地文件存在时再核对文件名、大小、哈希和解析范围。</w:t>
      </w:r>
    </w:p>
    <w:p>
      <w:pPr>
        <w:spacing w:before="60" w:after="100" w:line="293" w:lineRule="auto"/>
      </w:pPr>
      <w:r>
        <w:rPr>
          <w:rFonts w:ascii="微软雅黑" w:hAnsi="微软雅黑" w:eastAsia="微软雅黑"/>
          <w:b/>
          <w:color w:val="1F4E78"/>
          <w:sz w:val="20"/>
        </w:rPr>
        <w:t>网页失效时：</w:t>
      </w:r>
      <w:r>
        <w:rPr>
          <w:rFonts w:ascii="微软雅黑" w:hAnsi="微软雅黑" w:eastAsia="微软雅黑"/>
          <w:color w:val="111111"/>
          <w:sz w:val="20"/>
        </w:rPr>
        <w:t>不要删除已有来源档案。保留标题、发布日期、哈希和本地文件信息，并在审核备注中记录访问失败日期。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10. 常见审核场景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10.1 审核某省某年的全部数据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从“省份与年份”选择目标省年，截图或记录初始状态。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打开“覆盖与缺口”，列出已采集、部分采集和暂无公开全量的数据集。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按第 8 章顺序进入各数据集，优先筛选待审核和未匹配。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每完成一类，检查需复核/驳回记录的备注是否包含证据和后续动作。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完成后回到矩阵，由负责人根据既定验收口径更新范围状态。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10.2 定位未匹配院校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进入院校专业组、专业计划、专业录取线或投档线页面。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将“匹配状态”设为“未匹配”，再按省年和批次缩小范围。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核对招生代码、学校名称、历史名称和同名院校，查看全国院校的外部代码映射。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证据明确后再修复映射；审核页面本身只保存审核结论，不直接改写映射。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10.3 核对一条分数线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1. </w:t>
      </w:r>
      <w:r>
        <w:rPr>
          <w:rFonts w:ascii="微软雅黑" w:hAnsi="微软雅黑" w:eastAsia="微软雅黑"/>
          <w:color w:val="111111"/>
          <w:sz w:val="20"/>
        </w:rPr>
        <w:t>确认省份、年份、科类、层次、批次和段次。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2. </w:t>
      </w:r>
      <w:r>
        <w:rPr>
          <w:rFonts w:ascii="微软雅黑" w:hAnsi="微软雅黑" w:eastAsia="微软雅黑"/>
          <w:color w:val="111111"/>
          <w:sz w:val="20"/>
        </w:rPr>
        <w:t>确认该记录是省控线、院校/专业组投档线还是专业录取线，避免类别混淆。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3. </w:t>
      </w:r>
      <w:r>
        <w:rPr>
          <w:rFonts w:ascii="微软雅黑" w:hAnsi="微软雅黑" w:eastAsia="微软雅黑"/>
          <w:color w:val="111111"/>
          <w:sz w:val="20"/>
        </w:rPr>
        <w:t>比较分数、位次、志愿序号或专业分等字段，并确认空值是否来自源数据。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4. </w:t>
      </w:r>
      <w:r>
        <w:rPr>
          <w:rFonts w:ascii="微软雅黑" w:hAnsi="微软雅黑" w:eastAsia="微软雅黑"/>
          <w:color w:val="111111"/>
          <w:sz w:val="20"/>
        </w:rPr>
        <w:t>打开来源页面定位原表位置；存在版本差异时记录版本和发布日期。</w:t>
      </w:r>
    </w:p>
    <w:p>
      <w:pPr>
        <w:spacing w:after="60" w:line="288" w:lineRule="auto"/>
        <w:ind w:left="369" w:hanging="159"/>
      </w:pPr>
      <w:r>
        <w:rPr>
          <w:rFonts w:ascii="微软雅黑" w:hAnsi="微软雅黑" w:eastAsia="微软雅黑"/>
          <w:b/>
          <w:color w:val="1F4E78"/>
          <w:sz w:val="20"/>
        </w:rPr>
        <w:t xml:space="preserve">5. </w:t>
      </w:r>
      <w:r>
        <w:rPr>
          <w:rFonts w:ascii="微软雅黑" w:hAnsi="微软雅黑" w:eastAsia="微软雅黑"/>
          <w:color w:val="111111"/>
          <w:sz w:val="20"/>
        </w:rPr>
        <w:t>提交已通过、需复核或已驳回，并写明依据。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10.4 核对数据导入结果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先看首页数量是否与导入预期接近，再按省年进入列表检查。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检查首尾分数、随机中段、特殊字符、前导零代码、长备注和空值。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检查来源档案和覆盖记录是否同步建立；只有业务表有数据并不代表导入完整。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11. 故障排查与常见问题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04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现象</w:t>
            </w:r>
          </w:p>
        </w:tc>
        <w:tc>
          <w:tcPr>
            <w:tcW w:type="dxa" w:w="2835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912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处理方法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页面无法打开</w:t>
            </w:r>
          </w:p>
        </w:tc>
        <w:tc>
          <w:tcPr>
            <w:tcW w:type="dxa" w:w="28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前端未启动或端口被占用</w:t>
            </w:r>
          </w:p>
        </w:tc>
        <w:tc>
          <w:tcPr>
            <w:tcW w:type="dxa" w:w="391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确认 5173 服务运行；检查地址和端口</w:t>
            </w:r>
          </w:p>
        </w:tc>
      </w:tr>
      <w:tr>
        <w:trPr>
          <w:cantSplit/>
        </w:trPr>
        <w:tc>
          <w:tcPr>
            <w:tcW w:type="dxa" w:w="204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页面能打开但列表报错/为 0</w:t>
            </w:r>
          </w:p>
        </w:tc>
        <w:tc>
          <w:tcPr>
            <w:tcW w:type="dxa" w:w="283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后端未启动、数据库连接失败</w:t>
            </w:r>
          </w:p>
        </w:tc>
        <w:tc>
          <w:tcPr>
            <w:tcW w:type="dxa" w:w="391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确认 8080 和 MySQL 3306；查看服务日志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筛选后无结果</w:t>
            </w:r>
          </w:p>
        </w:tc>
        <w:tc>
          <w:tcPr>
            <w:tcW w:type="dxa" w:w="28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省年、科类或审核状态组合过窄</w:t>
            </w:r>
          </w:p>
        </w:tc>
        <w:tc>
          <w:tcPr>
            <w:tcW w:type="dxa" w:w="391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点击重置，再逐项增加条件</w:t>
            </w:r>
          </w:p>
        </w:tc>
      </w:tr>
      <w:tr>
        <w:trPr>
          <w:cantSplit/>
        </w:trPr>
        <w:tc>
          <w:tcPr>
            <w:tcW w:type="dxa" w:w="204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保存审核失败</w:t>
            </w:r>
          </w:p>
        </w:tc>
        <w:tc>
          <w:tcPr>
            <w:tcW w:type="dxa" w:w="283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审核人为空、状态无效、后端或数据库异常</w:t>
            </w:r>
          </w:p>
        </w:tc>
        <w:tc>
          <w:tcPr>
            <w:tcW w:type="dxa" w:w="391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补全审核人；刷新后重试；仍失败则记录时间与记录 ID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来源网页打不开</w:t>
            </w:r>
          </w:p>
        </w:tc>
        <w:tc>
          <w:tcPr>
            <w:tcW w:type="dxa" w:w="28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页面下线、参数变化或网络限制</w:t>
            </w:r>
          </w:p>
        </w:tc>
        <w:tc>
          <w:tcPr>
            <w:tcW w:type="dxa" w:w="391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保留档案与哈希；尝试官方站点检索同标题；记录访问失败</w:t>
            </w:r>
          </w:p>
        </w:tc>
      </w:tr>
      <w:tr>
        <w:trPr>
          <w:cantSplit/>
        </w:trPr>
        <w:tc>
          <w:tcPr>
            <w:tcW w:type="dxa" w:w="204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列表滚动或加载较慢</w:t>
            </w:r>
          </w:p>
        </w:tc>
        <w:tc>
          <w:tcPr>
            <w:tcW w:type="dxa" w:w="283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每页数量过大或筛选范围太宽</w:t>
            </w:r>
          </w:p>
        </w:tc>
        <w:tc>
          <w:tcPr>
            <w:tcW w:type="dxa" w:w="391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改为 20/50 条并增加省年、批次或关键词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代码前导零丢失</w:t>
            </w:r>
          </w:p>
        </w:tc>
        <w:tc>
          <w:tcPr>
            <w:tcW w:type="dxa" w:w="28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源文件按数值列解析</w:t>
            </w:r>
          </w:p>
        </w:tc>
        <w:tc>
          <w:tcPr>
            <w:tcW w:type="dxa" w:w="391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标记需复核，回查原文件；代码字段应按文本处理</w:t>
            </w:r>
          </w:p>
        </w:tc>
      </w:tr>
      <w:tr>
        <w:trPr>
          <w:cantSplit/>
        </w:trPr>
        <w:tc>
          <w:tcPr>
            <w:tcW w:type="dxa" w:w="2041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重复记录</w:t>
            </w:r>
          </w:p>
        </w:tc>
        <w:tc>
          <w:tcPr>
            <w:tcW w:type="dxa" w:w="2835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多版本或重复来源导入</w:t>
            </w:r>
          </w:p>
        </w:tc>
        <w:tc>
          <w:tcPr>
            <w:tcW w:type="dxa" w:w="3912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6"/>
              </w:rPr>
              <w:t>比较省年、批次、业务键、来源和哈希后再判断</w:t>
            </w:r>
          </w:p>
        </w:tc>
      </w:tr>
    </w:tbl>
    <w:p>
      <w:pPr>
        <w:spacing w:after="0"/>
      </w:pP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11.1 常见问题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问：</w:t>
      </w:r>
      <w:r>
        <w:rPr>
          <w:rFonts w:ascii="微软雅黑" w:hAnsi="微软雅黑" w:eastAsia="微软雅黑"/>
          <w:color w:val="111111"/>
          <w:sz w:val="21"/>
        </w:rPr>
        <w:t>灰色省份是否表示官方没有数据？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答：</w:t>
      </w:r>
      <w:r>
        <w:rPr>
          <w:rFonts w:ascii="微软雅黑" w:hAnsi="微软雅黑" w:eastAsia="微软雅黑"/>
          <w:color w:val="111111"/>
          <w:sz w:val="21"/>
        </w:rPr>
        <w:t>不是。灰色只表示当前系统尚未采集该省年数据。应创建采集任务并在公开渠道继续检索。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问：</w:t>
      </w:r>
      <w:r>
        <w:rPr>
          <w:rFonts w:ascii="微软雅黑" w:hAnsi="微软雅黑" w:eastAsia="微软雅黑"/>
          <w:color w:val="111111"/>
          <w:sz w:val="21"/>
        </w:rPr>
        <w:t>提交“已通过”会修改分数或计划数吗？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答：</w:t>
      </w:r>
      <w:r>
        <w:rPr>
          <w:rFonts w:ascii="微软雅黑" w:hAnsi="微软雅黑" w:eastAsia="微软雅黑"/>
          <w:color w:val="111111"/>
          <w:sz w:val="21"/>
        </w:rPr>
        <w:t>不会。审核结论与原始业务数据分开保存，并新增审计日志。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问：</w:t>
      </w:r>
      <w:r>
        <w:rPr>
          <w:rFonts w:ascii="微软雅黑" w:hAnsi="微软雅黑" w:eastAsia="微软雅黑"/>
          <w:color w:val="111111"/>
          <w:sz w:val="21"/>
        </w:rPr>
        <w:t>为什么记录数很多，但覆盖状态仍是“部分数据”？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答：</w:t>
      </w:r>
      <w:r>
        <w:rPr>
          <w:rFonts w:ascii="微软雅黑" w:hAnsi="微软雅黑" w:eastAsia="微软雅黑"/>
          <w:color w:val="111111"/>
          <w:sz w:val="21"/>
        </w:rPr>
        <w:t>记录量不等于覆盖完整。可能仍缺批次、科类、征集轮次、部分学校或关键字段。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问：</w:t>
      </w:r>
      <w:r>
        <w:rPr>
          <w:rFonts w:ascii="微软雅黑" w:hAnsi="微软雅黑" w:eastAsia="微软雅黑"/>
          <w:color w:val="111111"/>
          <w:sz w:val="21"/>
        </w:rPr>
        <w:t>找不到来源时能否凭其他网站补齐？</w:t>
      </w:r>
    </w:p>
    <w:p>
      <w:pPr>
        <w:spacing w:after="80" w:line="300" w:lineRule="auto"/>
      </w:pPr>
      <w:r>
        <w:rPr>
          <w:rFonts w:ascii="微软雅黑" w:hAnsi="微软雅黑" w:eastAsia="微软雅黑"/>
          <w:b/>
          <w:color w:val="111111"/>
          <w:sz w:val="21"/>
        </w:rPr>
        <w:t>答：</w:t>
      </w:r>
      <w:r>
        <w:rPr>
          <w:rFonts w:ascii="微软雅黑" w:hAnsi="微软雅黑" w:eastAsia="微软雅黑"/>
          <w:color w:val="111111"/>
          <w:sz w:val="21"/>
        </w:rPr>
        <w:t>可以把权威转载或开放数据作为线索，但必须登记来源类型和差异；关键结论仍应尽量回溯官方证据。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11.2 反馈问题时应提供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发生时间、操作页面、目标省份和年份。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记录 ID 或稳定 ID、使用的筛选条件、审核状态。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页面截图、错误提示、来源标题和来源地址。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问题能否复现，以及复现所需的最短步骤。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附录 A：审核前后检查清单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A.1 开始前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已确认本次省份、年份、数据集和批次范围。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已查看覆盖与缺口，知道哪些数据尚未收集或仅部分采集。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已确认来源档案可用，或已记录网页失效情况。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已明确抽样/全量策略和责任人。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A.2 单条记录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省份、年份、科类、层次、批次和段次上下文正确。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院校、专业组、专业代码与稳定 ID 关联合理。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分数、位次、计划数和人数与来源一致。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空值、复合分值和备注没有被错误解释。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来源标题、发布日期、网页和哈希足以支持结论。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审核状态选择恰当，备注包含必要证据和后续动作。</w:t>
      </w:r>
    </w:p>
    <w:p>
      <w:pPr>
        <w:pStyle w:val="Heading2"/>
        <w:keepNext/>
        <w:widowControl/>
        <w:spacing w:before="160" w:after="100"/>
      </w:pPr>
      <w:r>
        <w:rPr>
          <w:rFonts w:ascii="微软雅黑" w:hAnsi="微软雅黑" w:eastAsia="微软雅黑"/>
          <w:b/>
          <w:color w:val="1F4E78"/>
          <w:sz w:val="26"/>
        </w:rPr>
        <w:t>A.3 完成后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需复核和已驳回记录均有明确原因。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覆盖记录与实际导入范围一致。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来源档案没有遗漏，重复来源已通过哈希辨别。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已刷新页面并抽查审核状态与历史记录。</w:t>
      </w:r>
    </w:p>
    <w:p>
      <w:pPr>
        <w:pStyle w:val="ListBullet"/>
        <w:spacing w:after="40" w:line="283" w:lineRule="auto"/>
        <w:ind w:left="357" w:hanging="142"/>
      </w:pPr>
      <w:r>
        <w:rPr>
          <w:rFonts w:ascii="微软雅黑" w:hAnsi="微软雅黑" w:eastAsia="微软雅黑"/>
          <w:color w:val="111111"/>
          <w:sz w:val="20"/>
        </w:rPr>
        <w:t>□ 已向后续负责人移交未完成项。</w:t>
      </w: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附录 B：字段速查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2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字段/术语</w:t>
            </w:r>
          </w:p>
        </w:tc>
        <w:tc>
          <w:tcPr>
            <w:tcW w:type="dxa" w:w="652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稳定 ID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系统内部用于跨来源、跨年份关联同一业务主体的标识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外部代码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教育部代码、各省招生代码或来源系统代码，需注明适用范围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专业组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新高考招生组织单元，通常带选科要求和组代码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最低位次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在指定省年和科类口径下，与最低分对应的排名位置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同分人数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该分值上的考生数量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累计人数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达到该分值及以上的累计人数，具体以省级公布口径为准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内容哈希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对来源文件内容计算的指纹，用于识别重复和变更</w:t>
            </w:r>
          </w:p>
        </w:tc>
      </w:tr>
      <w:tr>
        <w:trPr>
          <w:cantSplit/>
        </w:trPr>
        <w:tc>
          <w:tcPr>
            <w:tcW w:type="dxa" w:w="2268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覆盖状态</w:t>
            </w:r>
          </w:p>
        </w:tc>
        <w:tc>
          <w:tcPr>
            <w:tcW w:type="dxa" w:w="6520"/>
            <w:shd w:fill="F2F2F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描述公开数据可得性与当前采集完整性，不等同于审核状态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审核状态</w:t>
            </w:r>
          </w:p>
        </w:tc>
        <w:tc>
          <w:tcPr>
            <w:tcW w:type="dxa" w:w="65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微软雅黑" w:hAnsi="微软雅黑" w:eastAsia="微软雅黑"/>
                <w:color w:val="111111"/>
                <w:sz w:val="17"/>
              </w:rPr>
              <w:t>描述单条记录的业务审核结论，不直接修改原始值</w:t>
            </w:r>
          </w:p>
        </w:tc>
      </w:tr>
    </w:tbl>
    <w:p>
      <w:pPr>
        <w:spacing w:after="0"/>
      </w:pPr>
    </w:p>
    <w:p>
      <w:pPr>
        <w:pStyle w:val="Heading1"/>
        <w:keepNext/>
        <w:widowControl/>
        <w:spacing w:before="240" w:after="100"/>
      </w:pPr>
      <w:r>
        <w:rPr>
          <w:rFonts w:ascii="微软雅黑" w:hAnsi="微软雅黑" w:eastAsia="微软雅黑"/>
          <w:b/>
          <w:color w:val="1F4E78"/>
          <w:sz w:val="34"/>
        </w:rPr>
        <w:t>附录 C：使用边界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本系统是数据采集和审核工具，不替代各省教育考试院、教育部阳光高考平台或高校官方发布。面向考生展示或用于志愿决策前，应再次校验最新政策、招生章程、选科要求、计划变更和正式录取口径。</w:t>
      </w:r>
    </w:p>
    <w:p>
      <w:pPr>
        <w:spacing w:after="80" w:line="300" w:lineRule="auto"/>
      </w:pPr>
      <w:r>
        <w:rPr>
          <w:rFonts w:ascii="微软雅黑" w:hAnsi="微软雅黑" w:eastAsia="微软雅黑"/>
          <w:color w:val="111111"/>
          <w:sz w:val="21"/>
        </w:rPr>
        <w:t>本文档中的数量为编制时系统快照，仅用于说明界面和操作。数据重新导入、覆盖或审核后，首页指标会实时变化。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07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 xml:space="preserve">志愿通数据审核系统使用手册  ·  第 </w:t>
    </w:r>
    <w:r>
      <w:rPr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666666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color w:val="666666"/>
        <w:sz w:val="17"/>
      </w:rPr>
      <w:t>志愿通 · 数据审核系统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00" w:lineRule="auto"/>
    </w:pPr>
    <w:rPr>
      <w:rFonts w:ascii="微软雅黑" w:hAnsi="微软雅黑" w:eastAsia="微软雅黑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1F4E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1111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微软雅黑" w:hAnsi="微软雅黑" w:eastAsia="微软雅黑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志愿通数据审核系统使用手册</dc:title>
  <dc:subject>数据查看、来源追溯、审核记录和覆盖管理</dc:subject>
  <dc:creator>志愿通项目组</dc:creator>
  <cp:keywords>志愿通, 数据审核, 高考招录, 使用手册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