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职来后端接口联调说明</w:t>
      </w:r>
    </w:p>
    <w:p>
      <w:pPr>
        <w:jc w:val="center"/>
      </w:pPr>
      <w:r>
        <w:rPr>
          <w:color w:val="595959"/>
          <w:sz w:val="20"/>
        </w:rPr>
        <w:t>前端开发使用  线上联调环境  2026年9月22日</w:t>
      </w:r>
    </w:p>
    <w:p>
      <w:r>
        <w:rPr>
          <w:b/>
        </w:rPr>
        <w:t>结论：</w:t>
      </w:r>
      <w:r>
        <w:t xml:space="preserve">前端统一通过 HTTPS 域名访问后端，业务请求前缀为 </w:t>
      </w:r>
      <w:r>
        <w:rPr>
          <w:b/>
        </w:rPr>
        <w:t>https://job.youthome.com.cn/api/v1</w:t>
      </w:r>
      <w:r>
        <w:t>。除注册、登录、短信验证码、刷新 Token 等匿名接口外，其余接口需要在 Authorization 请求头携带 Access Token。</w:t>
      </w:r>
    </w:p>
    <w:p>
      <w:pPr>
        <w:pStyle w:val="Heading1"/>
      </w:pPr>
      <w:r>
        <w:t>一  联调地址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1701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470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2835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使用说明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业务接口基地址</w:t>
            </w:r>
          </w:p>
        </w:tc>
        <w:tc>
          <w:tcPr>
            <w:tcW w:type="dxa" w:w="47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https://job.youthome.com.cn/api/v1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前端环境变量中的 API Base URL</w:t>
            </w:r>
          </w:p>
        </w:tc>
      </w:tr>
      <w:tr>
        <w:tc>
          <w:tcPr>
            <w:tcW w:type="dxa" w:w="170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健康检查</w:t>
            </w:r>
          </w:p>
        </w:tc>
        <w:tc>
          <w:tcPr>
            <w:tcW w:type="dxa" w:w="470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https://job.youthome.com.cn/api/v1/health</w:t>
            </w:r>
          </w:p>
        </w:tc>
        <w:tc>
          <w:tcPr>
            <w:tcW w:type="dxa" w:w="2835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返回 code=200 且 data.status=UP 表示后端可用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OpenAPI JSON</w:t>
            </w:r>
          </w:p>
        </w:tc>
        <w:tc>
          <w:tcPr>
            <w:tcW w:type="dxa" w:w="470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https://job.youthome.com.cn/api/v1/v3/api-docs</w:t>
            </w:r>
          </w:p>
        </w:tc>
        <w:tc>
          <w:tcPr>
            <w:tcW w:type="dxa" w:w="28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Apifox 导入或更新接口定义使用</w:t>
            </w:r>
          </w:p>
        </w:tc>
      </w:tr>
      <w:tr>
        <w:tc>
          <w:tcPr>
            <w:tcW w:type="dxa" w:w="170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WebSocket</w:t>
            </w:r>
          </w:p>
        </w:tc>
        <w:tc>
          <w:tcPr>
            <w:tcW w:type="dxa" w:w="470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wss://job.youthome.com.cn/api/v1/ws</w:t>
            </w:r>
          </w:p>
        </w:tc>
        <w:tc>
          <w:tcPr>
            <w:tcW w:type="dxa" w:w="2835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仅在对应实时功能启用时使用；不要使用 ws://</w:t>
            </w:r>
          </w:p>
        </w:tc>
      </w:tr>
    </w:tbl>
    <w:p>
      <w:pPr>
        <w:spacing w:after="20"/>
      </w:pPr>
    </w:p>
    <w:p>
      <w:r>
        <w:rPr>
          <w:b/>
        </w:rPr>
        <w:t>重要：</w:t>
      </w:r>
      <w:r>
        <w:t>不要直接请求服务器 IP、Jenkins 地址或 8010 端口。前端、Apifox 和浏览器都统一使用 HTTPS 域名，避免跨域、证书和环境切换问题。</w:t>
      </w:r>
    </w:p>
    <w:p>
      <w:pPr>
        <w:pStyle w:val="Heading1"/>
      </w:pPr>
      <w:r>
        <w:t>二  Apifox 配置方法</w:t>
      </w:r>
    </w:p>
    <w:p>
      <w:pPr>
        <w:pStyle w:val="ListBullet"/>
      </w:pPr>
      <w:r>
        <w:t>在 Apifox 项目中选择导入数据，导入方式选 URL，填写 OpenAPI JSON 地址。</w:t>
      </w:r>
    </w:p>
    <w:p>
      <w:pPr>
        <w:pStyle w:val="ListBullet"/>
      </w:pPr>
      <w:r>
        <w:t>环境前置 URL 设置为 https://job.youthome.com.cn/api/v1。接口路径本身只保留 /auth/me、/jobs 等相对路径。</w:t>
      </w:r>
    </w:p>
    <w:p>
      <w:pPr>
        <w:pStyle w:val="ListBullet"/>
      </w:pPr>
      <w:r>
        <w:t>创建环境变量 AuthToken，用登录响应中的 accessToken 赋值。</w:t>
      </w:r>
    </w:p>
    <w:p>
      <w:pPr>
        <w:pStyle w:val="ListBullet"/>
      </w:pPr>
      <w:r>
        <w:t>需要认证的接口统一设置请求头 Authorization: Bearer {{AuthToken}}。</w:t>
      </w:r>
    </w:p>
    <w:p>
      <w:pPr>
        <w:pStyle w:val="ListBullet"/>
      </w:pPr>
      <w:r>
        <w:t>接口有调整时重新从 OpenAPI URL 增量导入，不要手工复制旧接口覆盖新定义。</w:t>
      </w:r>
    </w:p>
    <w:p>
      <w:pPr>
        <w:pStyle w:val="Heading1"/>
      </w:pPr>
      <w:r>
        <w:t>三  通用请求和响应规则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3"/>
        <w:gridCol w:w="4873"/>
      </w:tblGrid>
      <w:tr>
        <w:trPr>
          <w:tblHeader w:val="true"/>
        </w:trPr>
        <w:tc>
          <w:tcPr>
            <w:tcW w:type="dxa" w:w="1814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427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规则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请求格式</w:t>
            </w:r>
          </w:p>
        </w:tc>
        <w:tc>
          <w:tcPr>
            <w:tcW w:type="dxa" w:w="74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普通业务接口使用 application/json；上传简历等文件接口使用 multipart/form-data。</w:t>
            </w:r>
          </w:p>
        </w:tc>
      </w:tr>
      <w:tr>
        <w:tc>
          <w:tcPr>
            <w:tcW w:type="dxa" w:w="181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认证请求头</w:t>
            </w:r>
          </w:p>
        </w:tc>
        <w:tc>
          <w:tcPr>
            <w:tcW w:type="dxa" w:w="7427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Authorization: Bearer &lt;accessToken&gt;。Refresh Token 不能代替 Access Token 访问业务接口。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请求追踪</w:t>
            </w:r>
          </w:p>
        </w:tc>
        <w:tc>
          <w:tcPr>
            <w:tcW w:type="dxa" w:w="74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可传 X-Request-Id；后端会在响应头和响应体返回 requestId，报错联调时请一并提供。</w:t>
            </w:r>
          </w:p>
        </w:tc>
      </w:tr>
      <w:tr>
        <w:tc>
          <w:tcPr>
            <w:tcW w:type="dxa" w:w="181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时间格式</w:t>
            </w:r>
          </w:p>
        </w:tc>
        <w:tc>
          <w:tcPr>
            <w:tcW w:type="dxa" w:w="7427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按 OpenAPI 定义发送 ISO 8601 日期或日期时间，不要自行转换为中文日期。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分页</w:t>
            </w:r>
          </w:p>
        </w:tc>
        <w:tc>
          <w:tcPr>
            <w:tcW w:type="dxa" w:w="742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以接口定义中的 page、size 为准；不要在前端假设页码起点。</w:t>
            </w:r>
          </w:p>
        </w:tc>
      </w:tr>
      <w:tr>
        <w:tc>
          <w:tcPr>
            <w:tcW w:type="dxa" w:w="181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响应外层</w:t>
            </w:r>
          </w:p>
        </w:tc>
        <w:tc>
          <w:tcPr>
            <w:tcW w:type="dxa" w:w="7427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通常为 code、message、data、requestId、timestamp。业务数据读取 data。</w:t>
            </w:r>
          </w:p>
        </w:tc>
      </w:tr>
    </w:tbl>
    <w:p>
      <w:pPr>
        <w:spacing w:after="20"/>
      </w:pPr>
    </w:p>
    <w:p>
      <w:pPr>
        <w:pStyle w:val="CodeBlock"/>
        <w:keepLines/>
        <w:spacing w:line="252" w:lineRule="auto"/>
        <w:shd w:fill="F5F5F5"/>
      </w:pPr>
      <w:r>
        <w:rPr>
          <w:rFonts w:ascii="Consolas" w:hAnsi="Consolas" w:eastAsia="Microsoft YaHei"/>
        </w:rPr>
        <w:t>Authorization: Bearer {{AuthToken}}</w:t>
        <w:br/>
        <w:t>Content-Type: application/json</w:t>
        <w:br/>
        <w:t>X-Request-Id: web-20260922-0001</w:t>
      </w:r>
    </w:p>
    <w:p>
      <w:pPr>
        <w:pStyle w:val="CodeBlock"/>
        <w:keepLines/>
        <w:spacing w:line="252" w:lineRule="auto"/>
        <w:shd w:fill="F5F5F5"/>
      </w:pPr>
      <w:r>
        <w:rPr>
          <w:rFonts w:ascii="Consolas" w:hAnsi="Consolas" w:eastAsia="Microsoft YaHei"/>
        </w:rPr>
        <w:t>{</w:t>
        <w:br/>
        <w:t xml:space="preserve">  "code": 200,</w:t>
        <w:br/>
        <w:t xml:space="preserve">  "message": "ok",</w:t>
        <w:br/>
        <w:t xml:space="preserve">  "data": { },</w:t>
        <w:br/>
        <w:t xml:space="preserve">  "requestId": "...",</w:t>
        <w:br/>
        <w:t xml:space="preserve">  "timestamp": "..."</w:t>
        <w:br/>
        <w:t>}</w:t>
      </w:r>
    </w:p>
    <w:p>
      <w:pPr>
        <w:pStyle w:val="Heading1"/>
      </w:pPr>
      <w:r>
        <w:t>四  登录与会话使用顺序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680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3231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接口</w:t>
            </w:r>
          </w:p>
        </w:tc>
        <w:tc>
          <w:tcPr>
            <w:tcW w:type="dxa" w:w="5329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前端处理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/auth/sms/send</w:t>
            </w:r>
          </w:p>
        </w:tc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按 purpose 发送验证码；purpose 必须使用后端支持的固定值。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2A</w:t>
            </w:r>
          </w:p>
        </w:tc>
        <w:tc>
          <w:tcPr>
            <w:tcW w:type="dxa" w:w="323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/auth/password/login</w:t>
            </w:r>
          </w:p>
        </w:tc>
        <w:tc>
          <w:tcPr>
            <w:tcW w:type="dxa" w:w="5329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手机号和密码登录；成功后保存 accessToken、refreshToken。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2B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/auth/login</w:t>
            </w:r>
          </w:p>
        </w:tc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短信验证码登录；现接口文档标为 Mock 登录，生产前端不要作为正式入口，除非产品和后端明确确认。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323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/auth/me</w:t>
            </w:r>
          </w:p>
        </w:tc>
        <w:tc>
          <w:tcPr>
            <w:tcW w:type="dxa" w:w="5329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登录后拉取用户 id、角色和当前身份信息。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323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/auth/refresh</w:t>
            </w:r>
          </w:p>
        </w:tc>
        <w:tc>
          <w:tcPr>
            <w:tcW w:type="dxa" w:w="5329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Access Token 过期时，用 Refresh Token 换取新 Token。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type="dxa" w:w="323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/auth/logout</w:t>
            </w:r>
          </w:p>
        </w:tc>
        <w:tc>
          <w:tcPr>
            <w:tcW w:type="dxa" w:w="5329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退出登录；成功后清除前端保存的所有 Token 和用户状态。</w:t>
            </w:r>
          </w:p>
        </w:tc>
      </w:tr>
    </w:tbl>
    <w:p>
      <w:pPr>
        <w:spacing w:after="20"/>
      </w:pPr>
    </w:p>
    <w:p>
      <w:pPr>
        <w:pStyle w:val="Heading2"/>
      </w:pPr>
      <w:r>
        <w:t>Token 保存与刷新建议</w:t>
      </w:r>
    </w:p>
    <w:p>
      <w:pPr>
        <w:pStyle w:val="ListBullet"/>
      </w:pPr>
      <w:r>
        <w:t>Access Token 用于业务请求；Refresh Token 只提交给 /auth/refresh 和会话相关接口。</w:t>
      </w:r>
    </w:p>
    <w:p>
      <w:pPr>
        <w:pStyle w:val="ListBullet"/>
      </w:pPr>
      <w:r>
        <w:t>遇到 401 时只允许一次串行刷新；刷新成功后重放原请求，刷新失败则清理会话并跳转登录页。</w:t>
      </w:r>
    </w:p>
    <w:p>
      <w:pPr>
        <w:pStyle w:val="ListBullet"/>
      </w:pPr>
      <w:r>
        <w:t>不要把 Token 打印到控制台、错误上报、URL 查询参数或页面 DOM。</w:t>
      </w:r>
    </w:p>
    <w:p>
      <w:pPr>
        <w:pStyle w:val="ListBullet"/>
      </w:pPr>
      <w:r>
        <w:t>不同浏览器标签页同时刷新时要加前端互斥，避免多个 Refresh Token 并发重放。</w:t>
      </w:r>
    </w:p>
    <w:p>
      <w:pPr>
        <w:pStyle w:val="Heading1"/>
      </w:pPr>
      <w:r>
        <w:t>五  学生 企业 管理员的区别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247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2891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账号产生方式</w:t>
            </w:r>
          </w:p>
        </w:tc>
        <w:tc>
          <w:tcPr>
            <w:tcW w:type="dxa" w:w="3005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登录方式</w:t>
            </w:r>
          </w:p>
        </w:tc>
        <w:tc>
          <w:tcPr>
            <w:tcW w:type="dxa" w:w="2381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主要接口前缀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STUDENT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现有短信登录流程可自动创建学生账号</w:t>
            </w:r>
          </w:p>
        </w:tc>
        <w:tc>
          <w:tcPr>
            <w:tcW w:type="dxa" w:w="300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短信登录或已设置密码后的密码登录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/profile/me、/applications、/offers、/interviews</w:t>
            </w:r>
          </w:p>
        </w:tc>
      </w:tr>
      <w:tr>
        <w:tc>
          <w:tcPr>
            <w:tcW w:type="dxa" w:w="1247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COMPANY</w:t>
            </w:r>
          </w:p>
        </w:tc>
        <w:tc>
          <w:tcPr>
            <w:tcW w:type="dxa" w:w="289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/auth/company/register 专用注册</w:t>
            </w:r>
          </w:p>
        </w:tc>
        <w:tc>
          <w:tcPr>
            <w:tcW w:type="dxa" w:w="3005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注册成功直接返回 Token；之后可密码登录</w:t>
            </w:r>
          </w:p>
        </w:tc>
        <w:tc>
          <w:tcPr>
            <w:tcW w:type="dxa" w:w="2381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/companies/me、/company、/jobs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ADMIN</w:t>
            </w:r>
          </w:p>
        </w:tc>
        <w:tc>
          <w:tcPr>
            <w:tcW w:type="dxa" w:w="28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不提供公开注册，由管理员初始化或后台受控创建</w:t>
            </w:r>
          </w:p>
        </w:tc>
        <w:tc>
          <w:tcPr>
            <w:tcW w:type="dxa" w:w="300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使用现有认证方式登录</w:t>
            </w:r>
          </w:p>
        </w:tc>
        <w:tc>
          <w:tcPr>
            <w:tcW w:type="dxa" w:w="238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/admin</w:t>
            </w:r>
          </w:p>
        </w:tc>
      </w:tr>
    </w:tbl>
    <w:p>
      <w:pPr>
        <w:spacing w:after="20"/>
      </w:pPr>
    </w:p>
    <w:p>
      <w:r>
        <w:rPr>
          <w:b/>
        </w:rPr>
        <w:t>前端路由判断：</w:t>
      </w:r>
      <w:r>
        <w:t>登录成功后以 /auth/me 返回的角色为准。不要让客户端提交 role 来决定身份，也不要仅依据页面入口猜测用户角色。</w:t>
      </w:r>
    </w:p>
    <w:p>
      <w:pPr>
        <w:pStyle w:val="Heading1"/>
      </w:pPr>
      <w:r>
        <w:t>六  企业注册与入驻流程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680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顺序</w:t>
            </w:r>
          </w:p>
        </w:tc>
        <w:tc>
          <w:tcPr>
            <w:tcW w:type="dxa" w:w="3402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接口</w:t>
            </w:r>
          </w:p>
        </w:tc>
        <w:tc>
          <w:tcPr>
            <w:tcW w:type="dxa" w:w="53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预期结果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/auth/sms/send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purpose 使用 company-register，获取企业注册验证码。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/auth/company/register</w:t>
            </w:r>
          </w:p>
        </w:tc>
        <w:tc>
          <w:tcPr>
            <w:tcW w:type="dxa" w:w="538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提交手机号、验证码、密码和企业基础资料；成功返回 COMPANY Token。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/auth/me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确认当前角色为 COMPANY。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/companies/me/onboarding</w:t>
            </w:r>
          </w:p>
        </w:tc>
        <w:tc>
          <w:tcPr>
            <w:tcW w:type="dxa" w:w="538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读取 UNVERIFIED、PENDING、REJECTED 或 VERIFIED，以及 missingFields、allowedActions。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5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PUT /companies/me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根据 missingFields 完善企业资料。</w:t>
            </w:r>
          </w:p>
        </w:tc>
      </w:tr>
      <w:tr>
        <w:tc>
          <w:tcPr>
            <w:tcW w:type="dxa" w:w="680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6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 /companies/me/verification</w:t>
            </w:r>
          </w:p>
        </w:tc>
        <w:tc>
          <w:tcPr>
            <w:tcW w:type="dxa" w:w="538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提交企业认证材料。</w:t>
            </w:r>
          </w:p>
        </w:tc>
      </w:tr>
      <w:t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7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/companies/me/onboarding</w:t>
            </w:r>
          </w:p>
        </w:tc>
        <w:tc>
          <w:tcPr>
            <w:tcW w:type="dxa" w:w="538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刷新聚合状态；前端按钮以 allowedActions 为准。</w:t>
            </w:r>
          </w:p>
        </w:tc>
      </w:tr>
    </w:tbl>
    <w:p>
      <w:pPr>
        <w:spacing w:after="20"/>
      </w:pPr>
    </w:p>
    <w:p>
      <w:pPr>
        <w:pStyle w:val="Heading2"/>
      </w:pPr>
      <w:r>
        <w:t>企业注册请求示例</w:t>
      </w:r>
    </w:p>
    <w:p>
      <w:pPr>
        <w:pStyle w:val="CodeBlock"/>
        <w:keepLines/>
        <w:spacing w:line="252" w:lineRule="auto"/>
        <w:shd w:fill="F5F5F5"/>
      </w:pPr>
      <w:r>
        <w:rPr>
          <w:rFonts w:ascii="Consolas" w:hAnsi="Consolas" w:eastAsia="Microsoft YaHei"/>
        </w:rPr>
        <w:t>POST /auth/company/register</w:t>
        <w:br/>
        <w:br/>
        <w:t>{</w:t>
        <w:br/>
        <w:t xml:space="preserve">  "phone": "19900000000",</w:t>
        <w:br/>
        <w:t xml:space="preserve">  "code": "123456",</w:t>
        <w:br/>
        <w:t xml:space="preserve">  "password": "符合密码策略的密码",</w:t>
        <w:br/>
        <w:t xml:space="preserve">  "company": {</w:t>
        <w:br/>
        <w:t xml:space="preserve">    "name": "示例科技有限公司",</w:t>
        <w:br/>
        <w:t xml:space="preserve">    "industry": "互联网",</w:t>
        <w:br/>
        <w:t xml:space="preserve">    "description": "企业简介",</w:t>
        <w:br/>
        <w:t xml:space="preserve">    "website": "https://example.com",</w:t>
        <w:br/>
        <w:t xml:space="preserve">    "address": "企业地址"</w:t>
        <w:br/>
        <w:t xml:space="preserve">  }</w:t>
        <w:br/>
        <w:t>}</w:t>
      </w:r>
    </w:p>
    <w:p>
      <w:r>
        <w:rPr>
          <w:b/>
        </w:rPr>
        <w:t>注意：</w:t>
      </w:r>
      <w:r>
        <w:t>客户端不能提交 userId、role、verified 或 passwordHash。注册响应中的 accessToken 和 refreshToken 按普通登录响应处理。</w:t>
      </w:r>
    </w:p>
    <w:p>
      <w:pPr>
        <w:pStyle w:val="Heading1"/>
      </w:pPr>
      <w:r>
        <w:t>七  常用业务接口导航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1304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业务模块</w:t>
            </w:r>
          </w:p>
        </w:tc>
        <w:tc>
          <w:tcPr>
            <w:tcW w:type="dxa" w:w="555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常用接口</w:t>
            </w:r>
          </w:p>
        </w:tc>
        <w:tc>
          <w:tcPr>
            <w:tcW w:type="dxa" w:w="2608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认证要求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公开岗位</w:t>
            </w:r>
          </w:p>
        </w:tc>
        <w:tc>
          <w:tcPr>
            <w:tcW w:type="dxa" w:w="5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/jobs、GET /jobs/{jobId}、GET /jobs/search、GET /jobs/filters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公开读取；具体以 OpenAPI security 定义为准</w:t>
            </w:r>
          </w:p>
        </w:tc>
      </w:tr>
      <w:tr>
        <w:tc>
          <w:tcPr>
            <w:tcW w:type="dxa" w:w="130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学生资料</w:t>
            </w:r>
          </w:p>
        </w:tc>
        <w:tc>
          <w:tcPr>
            <w:tcW w:type="dxa" w:w="555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GET/PUT /profile/me、POST/GET/DELETE /profile/me/resume</w:t>
            </w:r>
          </w:p>
        </w:tc>
        <w:tc>
          <w:tcPr>
            <w:tcW w:type="dxa" w:w="2608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STUDENT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求职流程</w:t>
            </w:r>
          </w:p>
        </w:tc>
        <w:tc>
          <w:tcPr>
            <w:tcW w:type="dxa" w:w="5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投递、面试、Offer、消息等接口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登录后按角色和资源归属校验</w:t>
            </w:r>
          </w:p>
        </w:tc>
      </w:tr>
      <w:tr>
        <w:tc>
          <w:tcPr>
            <w:tcW w:type="dxa" w:w="130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企业资料</w:t>
            </w:r>
          </w:p>
        </w:tc>
        <w:tc>
          <w:tcPr>
            <w:tcW w:type="dxa" w:w="555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GET/PUT /companies/me</w:t>
            </w:r>
          </w:p>
        </w:tc>
        <w:tc>
          <w:tcPr>
            <w:tcW w:type="dxa" w:w="2608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COMPANY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企业入驻</w:t>
            </w:r>
          </w:p>
        </w:tc>
        <w:tc>
          <w:tcPr>
            <w:tcW w:type="dxa" w:w="5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GET /companies/me/onboarding、POST/GET /companies/me/verification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COMPANY</w:t>
            </w:r>
          </w:p>
        </w:tc>
      </w:tr>
      <w:tr>
        <w:tc>
          <w:tcPr>
            <w:tcW w:type="dxa" w:w="130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企业岗位</w:t>
            </w:r>
          </w:p>
        </w:tc>
        <w:tc>
          <w:tcPr>
            <w:tcW w:type="dxa" w:w="5556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POST/PUT /jobs 及发布关闭接口</w:t>
            </w:r>
          </w:p>
        </w:tc>
        <w:tc>
          <w:tcPr>
            <w:tcW w:type="dxa" w:w="2608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COMPANY；部分能力可能要求完成认证</w:t>
            </w:r>
          </w:p>
        </w:tc>
      </w:tr>
      <w:tr>
        <w:tc>
          <w:tcPr>
            <w:tcW w:type="dxa" w:w="130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管理员</w:t>
            </w:r>
          </w:p>
        </w:tc>
        <w:tc>
          <w:tcPr>
            <w:tcW w:type="dxa" w:w="5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/admin 下审核、风控、举报等接口</w:t>
            </w:r>
          </w:p>
        </w:tc>
        <w:tc>
          <w:tcPr>
            <w:tcW w:type="dxa" w:w="26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ADMIN</w:t>
            </w:r>
          </w:p>
        </w:tc>
      </w:tr>
    </w:tbl>
    <w:p>
      <w:pPr>
        <w:spacing w:after="20"/>
      </w:pPr>
    </w:p>
    <w:p>
      <w:r>
        <w:t>完整字段、枚举、必填项、响应结构和全部接口以运行时 OpenAPI 为唯一联调依据。本文只提供入口和使用顺序。</w:t>
      </w:r>
    </w:p>
    <w:p>
      <w:pPr>
        <w:pStyle w:val="Heading1"/>
      </w:pPr>
      <w:r>
        <w:t>八  常见状态码处理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1134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HTTP</w:t>
            </w:r>
          </w:p>
        </w:tc>
        <w:tc>
          <w:tcPr>
            <w:tcW w:type="dxa" w:w="3402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含义</w:t>
            </w:r>
          </w:p>
        </w:tc>
        <w:tc>
          <w:tcPr>
            <w:tcW w:type="dxa" w:w="4932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前端建议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400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参数错误、验证码错误或业务输入不合法</w:t>
            </w:r>
          </w:p>
        </w:tc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展示安全业务文案；字段错误定位到表单项。</w:t>
            </w:r>
          </w:p>
        </w:tc>
      </w:tr>
      <w:tr>
        <w:tc>
          <w:tcPr>
            <w:tcW w:type="dxa" w:w="113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401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未登录、Token 无效或过期</w:t>
            </w:r>
          </w:p>
        </w:tc>
        <w:tc>
          <w:tcPr>
            <w:tcW w:type="dxa" w:w="493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尝试一次刷新；失败后清理会话并回登录页。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403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角色不允许或无资源权限</w:t>
            </w:r>
          </w:p>
        </w:tc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展示无权限页面，不要循环刷新 Token。</w:t>
            </w:r>
          </w:p>
        </w:tc>
      </w:tr>
      <w:tr>
        <w:tc>
          <w:tcPr>
            <w:tcW w:type="dxa" w:w="113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404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资源不存在</w:t>
            </w:r>
          </w:p>
        </w:tc>
        <w:tc>
          <w:tcPr>
            <w:tcW w:type="dxa" w:w="493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展示资源不存在或返回列表页。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409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账号、状态或并发冲突</w:t>
            </w:r>
          </w:p>
        </w:tc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刷新当前数据后提示用户重新操作。</w:t>
            </w:r>
          </w:p>
        </w:tc>
      </w:tr>
      <w:tr>
        <w:tc>
          <w:tcPr>
            <w:tcW w:type="dxa" w:w="113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429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请求过于频繁</w:t>
            </w:r>
          </w:p>
        </w:tc>
        <w:tc>
          <w:tcPr>
            <w:tcW w:type="dxa" w:w="493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禁用按钮并显示倒计时，不要立即自动重试。</w:t>
            </w:r>
          </w:p>
        </w:tc>
      </w:tr>
      <w:tr>
        <w:tc>
          <w:tcPr>
            <w:tcW w:type="dxa" w:w="113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500</w:t>
            </w:r>
          </w:p>
        </w:tc>
        <w:tc>
          <w:tcPr>
            <w:tcW w:type="dxa" w:w="340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服务内部错误</w:t>
            </w:r>
          </w:p>
        </w:tc>
        <w:tc>
          <w:tcPr>
            <w:tcW w:type="dxa" w:w="493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显示通用错误，并上报 requestId。</w:t>
            </w:r>
          </w:p>
        </w:tc>
      </w:tr>
      <w:tr>
        <w:tc>
          <w:tcPr>
            <w:tcW w:type="dxa" w:w="1134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503</w:t>
            </w:r>
          </w:p>
        </w:tc>
        <w:tc>
          <w:tcPr>
            <w:tcW w:type="dxa" w:w="340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依赖服务不可用或功能暂不可用</w:t>
            </w:r>
          </w:p>
        </w:tc>
        <w:tc>
          <w:tcPr>
            <w:tcW w:type="dxa" w:w="4932"/>
            <w:shd w:fill="F3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sz w:val="17"/>
              </w:rPr>
              <w:t>提示稍后重试，避免高频轮询。</w:t>
            </w:r>
          </w:p>
        </w:tc>
      </w:tr>
    </w:tbl>
    <w:p>
      <w:pPr>
        <w:spacing w:after="20"/>
      </w:pPr>
    </w:p>
    <w:p>
      <w:pPr>
        <w:pStyle w:val="Heading1"/>
      </w:pPr>
      <w:r>
        <w:t>九  前端联调检查清单</w:t>
      </w:r>
    </w:p>
    <w:p>
      <w:pPr>
        <w:pStyle w:val="ListBullet"/>
      </w:pPr>
      <w:r>
        <w:t>环境 Base URL 仅配置一次，接口路径中不重复拼接 /api/v1。</w:t>
      </w:r>
    </w:p>
    <w:p>
      <w:pPr>
        <w:pStyle w:val="ListBullet"/>
      </w:pPr>
      <w:r>
        <w:t>登录后 /auth/me 能返回正确角色，Authorization 头格式正确。</w:t>
      </w:r>
    </w:p>
    <w:p>
      <w:pPr>
        <w:pStyle w:val="ListBullet"/>
      </w:pPr>
      <w:r>
        <w:t>401 刷新流程不会无限循环，403 不触发刷新。</w:t>
      </w:r>
    </w:p>
    <w:p>
      <w:pPr>
        <w:pStyle w:val="ListBullet"/>
      </w:pPr>
      <w:r>
        <w:t>企业注册先发送 company-register 用途验证码，再调用企业注册接口。</w:t>
      </w:r>
    </w:p>
    <w:p>
      <w:pPr>
        <w:pStyle w:val="ListBullet"/>
      </w:pPr>
      <w:r>
        <w:t>企业页面从 /companies/me/onboarding 获取状态和 allowedActions，不在前端自行推导认证状态。</w:t>
      </w:r>
    </w:p>
    <w:p>
      <w:pPr>
        <w:pStyle w:val="ListBullet"/>
      </w:pPr>
      <w:r>
        <w:t>上传接口使用 multipart/form-data，不手动覆盖浏览器生成的 boundary。</w:t>
      </w:r>
    </w:p>
    <w:p>
      <w:pPr>
        <w:pStyle w:val="ListBullet"/>
      </w:pPr>
      <w:r>
        <w:t>报错时保留 HTTP 状态、业务 code、message、requestId 和请求时间；删除 Token、手机号、验证码及密码后再发给后端排查。</w:t>
      </w:r>
    </w:p>
    <w:p>
      <w:pPr>
        <w:pStyle w:val="ListBullet"/>
      </w:pPr>
      <w:r>
        <w:t>联调前先访问健康检查；健康为 UP 后再判断具体业务接口问题。</w:t>
      </w:r>
    </w:p>
    <w:p>
      <w:pPr>
        <w:pStyle w:val="Heading1"/>
      </w:pPr>
      <w:r>
        <w:t>十  安全和协作约定</w:t>
      </w:r>
    </w:p>
    <w:p>
      <w:pPr>
        <w:pStyle w:val="ListBullet"/>
      </w:pPr>
      <w:r>
        <w:t>禁止在前端代码、Git、群聊截图或 Apifox 公共变量中保存数据库、Redis、RabbitMQ、Jenkins 密码。</w:t>
      </w:r>
    </w:p>
    <w:p>
      <w:pPr>
        <w:pStyle w:val="ListBullet"/>
      </w:pPr>
      <w:r>
        <w:t>禁止把 Access Token、Refresh Token、短信验证码和用户密码写入日志或错误上报。</w:t>
      </w:r>
    </w:p>
    <w:p>
      <w:pPr>
        <w:pStyle w:val="ListBullet"/>
      </w:pPr>
      <w:r>
        <w:t>接口字段调整由后端更新 OpenAPI，前端重新导入；不要以聊天记录替代接口定义。</w:t>
      </w:r>
    </w:p>
    <w:p>
      <w:pPr>
        <w:pStyle w:val="ListBullet"/>
      </w:pPr>
      <w:r>
        <w:t>需要后端排查时提供：环境、接口、方法、HTTP 状态、业务 code、requestId、发生时间和脱敏请求。</w:t>
      </w:r>
    </w:p>
    <w:sectPr w:rsidR="00FC693F" w:rsidRPr="0006063C" w:rsidSect="00034616">
      <w:footerReference w:type="default" r:id="rId9"/>
      <w:pgSz w:w="12240" w:h="15840"/>
      <w:pgMar w:top="1191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080"/>
        <w:sz w:val="16"/>
      </w:rPr>
      <w:t>职来后端接口联调说明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Microsoft YaHei" w:hAnsi="Microsoft YaHe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YaHei" w:hAnsi="Microsoft YaHei" w:eastAsia="微软雅黑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微软雅黑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80" w:after="160"/>
      <w:ind w:left="283" w:right="283"/>
    </w:pPr>
    <w:rPr>
      <w:rFonts w:ascii="Consolas" w:hAnsi="Consolas" w:eastAsia="Microsoft YaHei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职来后端接口联调说明</dc:title>
  <dc:subject>前端联调地址与接口使用说明</dc:subject>
  <dc:creator>职来项目组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