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F1E9F">
      <w:pPr>
        <w:pStyle w:val="4"/>
        <w:ind w:firstLine="1040"/>
        <w:rPr>
          <w:rFonts w:hint="eastAsia" w:ascii="Times New Roman"/>
          <w:sz w:val="52"/>
        </w:rPr>
      </w:pPr>
    </w:p>
    <w:p w14:paraId="5F866E5C">
      <w:pPr>
        <w:pStyle w:val="4"/>
        <w:ind w:firstLine="1040"/>
        <w:rPr>
          <w:rFonts w:hint="eastAsia" w:ascii="Times New Roman"/>
          <w:sz w:val="52"/>
        </w:rPr>
      </w:pPr>
    </w:p>
    <w:p w14:paraId="4344ACE4">
      <w:pPr>
        <w:pStyle w:val="4"/>
        <w:ind w:firstLine="1040"/>
        <w:rPr>
          <w:rFonts w:hint="eastAsia" w:ascii="Times New Roman"/>
          <w:sz w:val="52"/>
        </w:rPr>
      </w:pPr>
    </w:p>
    <w:p w14:paraId="3CA98F21">
      <w:pPr>
        <w:pStyle w:val="4"/>
        <w:spacing w:before="354"/>
        <w:ind w:firstLine="1040"/>
        <w:rPr>
          <w:rFonts w:hint="eastAsia" w:ascii="Times New Roman"/>
          <w:sz w:val="52"/>
        </w:rPr>
      </w:pPr>
    </w:p>
    <w:p w14:paraId="4FE4B8D5">
      <w:pPr>
        <w:pStyle w:val="10"/>
        <w:spacing w:line="261" w:lineRule="auto"/>
        <w:ind w:left="97" w:firstLine="1040"/>
        <w:jc w:val="center"/>
        <w:rPr>
          <w:rFonts w:hint="eastAsia" w:asciiTheme="minorEastAsia" w:hAnsiTheme="minorEastAsia" w:eastAsiaTheme="minorEastAsia"/>
          <w:spacing w:val="-2"/>
        </w:rPr>
      </w:pPr>
      <w:r>
        <w:rPr>
          <w:rFonts w:hint="eastAsia" w:asciiTheme="minorEastAsia" w:hAnsiTheme="minorEastAsia" w:eastAsiaTheme="minorEastAsia"/>
          <w:spacing w:val="-2"/>
        </w:rPr>
        <w:t>青核-大学生校园交友</w:t>
      </w:r>
    </w:p>
    <w:p w14:paraId="1493A709">
      <w:pPr>
        <w:pStyle w:val="10"/>
        <w:spacing w:line="261" w:lineRule="auto"/>
        <w:ind w:left="97" w:firstLine="1040"/>
        <w:jc w:val="center"/>
        <w:rPr>
          <w:rFonts w:hint="eastAsia" w:asciiTheme="minorEastAsia" w:hAnsiTheme="minorEastAsia" w:eastAsiaTheme="minorEastAsia"/>
          <w:spacing w:val="-2"/>
        </w:rPr>
      </w:pPr>
      <w:r>
        <w:rPr>
          <w:rFonts w:hint="eastAsia" w:asciiTheme="minorEastAsia" w:hAnsiTheme="minorEastAsia" w:eastAsiaTheme="minorEastAsia"/>
          <w:spacing w:val="-2"/>
        </w:rPr>
        <w:t>与信息发布一体化智能服务</w:t>
      </w:r>
    </w:p>
    <w:p w14:paraId="3B137C5C">
      <w:pPr>
        <w:pStyle w:val="10"/>
        <w:spacing w:line="261" w:lineRule="auto"/>
        <w:ind w:left="97" w:firstLine="1040"/>
        <w:jc w:val="center"/>
        <w:rPr>
          <w:rFonts w:ascii="微软雅黑" w:hAnsi="微软雅黑" w:eastAsia="微软雅黑"/>
          <w:b/>
          <w:sz w:val="32"/>
        </w:rPr>
        <w:sectPr>
          <w:headerReference r:id="rId6" w:type="first"/>
          <w:headerReference r:id="rId5" w:type="default"/>
          <w:footerReference r:id="rId7" w:type="default"/>
          <w:pgSz w:w="11906" w:h="16838"/>
          <w:pgMar w:top="1440" w:right="1803" w:bottom="1440" w:left="1803" w:header="720" w:footer="720" w:gutter="0"/>
          <w:pgNumType w:start="1"/>
          <w:cols w:space="720" w:num="1"/>
          <w:titlePg/>
          <w:docGrid w:linePitch="360" w:charSpace="0"/>
        </w:sectPr>
      </w:pPr>
      <w:r>
        <w:rPr>
          <w:rFonts w:hint="eastAsia" w:asciiTheme="minorEastAsia" w:hAnsiTheme="minorEastAsia" w:eastAsiaTheme="minorEastAsia"/>
          <w:spacing w:val="-2"/>
        </w:rPr>
        <w:t>软件使用说明书</w:t>
      </w:r>
      <w:bookmarkStart w:id="0" w:name="_Toc238029954"/>
      <w:bookmarkStart w:id="1" w:name="_Toc238414456"/>
    </w:p>
    <w:p w14:paraId="2F378E79">
      <w:pPr>
        <w:pageBreakBefore/>
        <w:spacing w:after="80"/>
        <w:ind w:firstLine="640"/>
        <w:jc w:val="center"/>
        <w:rPr>
          <w:rFonts w:hint="eastAsia"/>
        </w:rPr>
      </w:pPr>
      <w:r>
        <w:rPr>
          <w:rFonts w:ascii="微软雅黑" w:hAnsi="微软雅黑" w:eastAsia="微软雅黑"/>
          <w:b/>
          <w:sz w:val="32"/>
        </w:rPr>
        <w:t>目录</w:t>
      </w:r>
    </w:p>
    <w:p w14:paraId="4DE014DC">
      <w:pPr>
        <w:pStyle w:val="7"/>
        <w:tabs>
          <w:tab w:val="right" w:leader="dot" w:pos="8300"/>
        </w:tabs>
      </w:pPr>
      <w:r>
        <w:fldChar w:fldCharType="begin"/>
      </w:r>
      <w:r>
        <w:instrText xml:space="preserve">TOC \o "1-2" \h \z \u</w:instrText>
      </w:r>
      <w:r>
        <w:fldChar w:fldCharType="separate"/>
      </w:r>
      <w:r>
        <w:fldChar w:fldCharType="begin"/>
      </w:r>
      <w:r>
        <w:instrText xml:space="preserve"> HYPERLINK \l _Toc18750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一．</w:t>
      </w:r>
      <w:r>
        <w:rPr>
          <w:rFonts w:ascii="微软雅黑" w:hAnsi="微软雅黑" w:eastAsia="微软雅黑"/>
        </w:rPr>
        <w:t>总体功能描述</w:t>
      </w:r>
      <w:r>
        <w:tab/>
      </w:r>
      <w:r>
        <w:fldChar w:fldCharType="begin"/>
      </w:r>
      <w:r>
        <w:instrText xml:space="preserve"> PAGEREF _Toc18750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28BAC016">
      <w:pPr>
        <w:pStyle w:val="7"/>
        <w:tabs>
          <w:tab w:val="right" w:leader="dot" w:pos="8300"/>
        </w:tabs>
      </w:pPr>
      <w:r>
        <w:fldChar w:fldCharType="begin"/>
      </w:r>
      <w:r>
        <w:instrText xml:space="preserve"> HYPERLINK \l _Toc10243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二．</w:t>
      </w:r>
      <w:r>
        <w:rPr>
          <w:rFonts w:ascii="微软雅黑" w:hAnsi="微软雅黑" w:eastAsia="微软雅黑"/>
        </w:rPr>
        <w:t>运行环境</w:t>
      </w:r>
      <w:r>
        <w:tab/>
      </w:r>
      <w:r>
        <w:fldChar w:fldCharType="begin"/>
      </w:r>
      <w:r>
        <w:instrText xml:space="preserve"> PAGEREF _Toc10243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4FD18EE0">
      <w:pPr>
        <w:pStyle w:val="7"/>
        <w:tabs>
          <w:tab w:val="right" w:leader="dot" w:pos="8300"/>
        </w:tabs>
      </w:pPr>
      <w:r>
        <w:fldChar w:fldCharType="begin"/>
      </w:r>
      <w:r>
        <w:instrText xml:space="preserve"> HYPERLINK \l _Toc15654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三．</w:t>
      </w:r>
      <w:r>
        <w:rPr>
          <w:rFonts w:ascii="微软雅黑" w:hAnsi="微软雅黑" w:eastAsia="微软雅黑"/>
        </w:rPr>
        <w:t>软件编译环境</w:t>
      </w:r>
      <w:r>
        <w:tab/>
      </w:r>
      <w:r>
        <w:fldChar w:fldCharType="begin"/>
      </w:r>
      <w:r>
        <w:instrText xml:space="preserve"> PAGEREF _Toc15654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11A699C6">
      <w:pPr>
        <w:pStyle w:val="7"/>
        <w:tabs>
          <w:tab w:val="right" w:leader="dot" w:pos="8300"/>
        </w:tabs>
      </w:pPr>
      <w:r>
        <w:fldChar w:fldCharType="begin"/>
      </w:r>
      <w:r>
        <w:instrText xml:space="preserve"> HYPERLINK \l _Toc19994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四．</w:t>
      </w:r>
      <w:r>
        <w:rPr>
          <w:rFonts w:ascii="微软雅黑" w:hAnsi="微软雅黑" w:eastAsia="微软雅黑"/>
        </w:rPr>
        <w:t>软件安装说明</w:t>
      </w:r>
      <w:r>
        <w:tab/>
      </w:r>
      <w:r>
        <w:fldChar w:fldCharType="begin"/>
      </w:r>
      <w:r>
        <w:instrText xml:space="preserve"> PAGEREF _Toc19994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71A24515">
      <w:pPr>
        <w:pStyle w:val="7"/>
        <w:tabs>
          <w:tab w:val="right" w:leader="dot" w:pos="8300"/>
        </w:tabs>
      </w:pPr>
      <w:r>
        <w:fldChar w:fldCharType="begin"/>
      </w:r>
      <w:r>
        <w:instrText xml:space="preserve"> HYPERLINK \l _Toc15386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五．</w:t>
      </w:r>
      <w:r>
        <w:rPr>
          <w:rFonts w:ascii="微软雅黑" w:hAnsi="微软雅黑" w:eastAsia="微软雅黑"/>
        </w:rPr>
        <w:t>软件使用</w:t>
      </w:r>
      <w:r>
        <w:tab/>
      </w:r>
      <w:r>
        <w:fldChar w:fldCharType="begin"/>
      </w:r>
      <w:r>
        <w:instrText xml:space="preserve"> PAGEREF _Toc15386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E4A899F">
      <w:pPr>
        <w:pStyle w:val="8"/>
        <w:tabs>
          <w:tab w:val="right" w:leader="dot" w:pos="8300"/>
        </w:tabs>
      </w:pPr>
      <w:r>
        <w:fldChar w:fldCharType="begin"/>
      </w:r>
      <w:r>
        <w:instrText xml:space="preserve"> HYPERLINK \l _Toc6578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（一）</w:t>
      </w:r>
      <w:r>
        <w:rPr>
          <w:rFonts w:ascii="微软雅黑" w:hAnsi="微软雅黑" w:eastAsia="微软雅黑"/>
        </w:rPr>
        <w:t>注册登录</w:t>
      </w:r>
      <w:r>
        <w:tab/>
      </w:r>
      <w:r>
        <w:fldChar w:fldCharType="begin"/>
      </w:r>
      <w:r>
        <w:instrText xml:space="preserve"> PAGEREF _Toc6578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1D29CBC">
      <w:pPr>
        <w:pStyle w:val="8"/>
        <w:tabs>
          <w:tab w:val="right" w:leader="dot" w:pos="8300"/>
        </w:tabs>
      </w:pPr>
      <w:r>
        <w:fldChar w:fldCharType="begin"/>
      </w:r>
      <w:r>
        <w:instrText xml:space="preserve"> HYPERLINK \l _Toc11149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二</w:t>
      </w:r>
      <w:r>
        <w:rPr>
          <w:rFonts w:hint="eastAsia" w:ascii="微软雅黑" w:hAnsi="微软雅黑" w:eastAsia="微软雅黑"/>
          <w:lang w:eastAsia="zh-CN"/>
        </w:rPr>
        <w:t>）</w:t>
      </w:r>
      <w:r>
        <w:rPr>
          <w:rFonts w:ascii="微软雅黑" w:hAnsi="微软雅黑" w:eastAsia="微软雅黑"/>
        </w:rPr>
        <w:t>首页与校园活动</w:t>
      </w:r>
      <w:r>
        <w:tab/>
      </w:r>
      <w:r>
        <w:rPr>
          <w:rFonts w:hint="eastAsia"/>
          <w:lang w:val="en-US" w:eastAsia="zh-CN"/>
        </w:rPr>
        <w:t>7</w:t>
      </w:r>
      <w:r>
        <w:fldChar w:fldCharType="end"/>
      </w:r>
    </w:p>
    <w:p w14:paraId="280A854D">
      <w:pPr>
        <w:pStyle w:val="8"/>
        <w:tabs>
          <w:tab w:val="right" w:leader="dot" w:pos="8300"/>
        </w:tabs>
      </w:pPr>
      <w:r>
        <w:fldChar w:fldCharType="begin"/>
      </w:r>
      <w:r>
        <w:instrText xml:space="preserve"> HYPERLINK \l _Toc20931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三</w:t>
      </w:r>
      <w:r>
        <w:rPr>
          <w:rFonts w:hint="eastAsia" w:ascii="微软雅黑" w:hAnsi="微软雅黑" w:eastAsia="微软雅黑"/>
          <w:lang w:eastAsia="zh-CN"/>
        </w:rPr>
        <w:t>）</w:t>
      </w:r>
      <w:r>
        <w:rPr>
          <w:rFonts w:ascii="微软雅黑" w:hAnsi="微软雅黑" w:eastAsia="微软雅黑"/>
        </w:rPr>
        <w:t>校园交友</w:t>
      </w:r>
      <w:r>
        <w:tab/>
      </w:r>
      <w:r>
        <w:fldChar w:fldCharType="begin"/>
      </w:r>
      <w:r>
        <w:instrText xml:space="preserve"> PAGEREF _Toc20931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55162194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_Toc30910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四</w:t>
      </w:r>
      <w:r>
        <w:rPr>
          <w:rFonts w:hint="eastAsia" w:ascii="微软雅黑" w:hAnsi="微软雅黑" w:eastAsia="微软雅黑"/>
          <w:lang w:eastAsia="zh-CN"/>
        </w:rPr>
        <w:t>）</w:t>
      </w:r>
      <w:r>
        <w:rPr>
          <w:rFonts w:ascii="微软雅黑" w:hAnsi="微软雅黑" w:eastAsia="微软雅黑"/>
        </w:rPr>
        <w:t>校园动态</w:t>
      </w:r>
      <w:r>
        <w:tab/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val="en-US" w:eastAsia="zh-CN"/>
        </w:rPr>
        <w:t>6</w:t>
      </w:r>
    </w:p>
    <w:p w14:paraId="06839CF3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_Toc28711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五</w:t>
      </w:r>
      <w:r>
        <w:rPr>
          <w:rFonts w:hint="eastAsia" w:ascii="微软雅黑" w:hAnsi="微软雅黑" w:eastAsia="微软雅黑"/>
          <w:lang w:eastAsia="zh-CN"/>
        </w:rPr>
        <w:t>）</w:t>
      </w:r>
      <w:r>
        <w:rPr>
          <w:rFonts w:ascii="微软雅黑" w:hAnsi="微软雅黑" w:eastAsia="微软雅黑"/>
        </w:rPr>
        <w:t>消息与聊天</w:t>
      </w:r>
      <w:r>
        <w:tab/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val="en-US" w:eastAsia="zh-CN"/>
        </w:rPr>
        <w:t>9</w:t>
      </w:r>
    </w:p>
    <w:p w14:paraId="08442A42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_Toc22862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六）</w:t>
      </w:r>
      <w:r>
        <w:rPr>
          <w:rFonts w:ascii="微软雅黑" w:hAnsi="微软雅黑" w:eastAsia="微软雅黑"/>
        </w:rPr>
        <w:t>我的与实名认证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0</w:t>
      </w:r>
    </w:p>
    <w:p w14:paraId="51604563">
      <w:pPr>
        <w:pStyle w:val="7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_Toc12902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六．</w:t>
      </w:r>
      <w:r>
        <w:rPr>
          <w:rFonts w:ascii="微软雅黑" w:hAnsi="微软雅黑" w:eastAsia="微软雅黑"/>
        </w:rPr>
        <w:t>软件设计理论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4</w:t>
      </w:r>
    </w:p>
    <w:p w14:paraId="477ED185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_Toc8549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一</w:t>
      </w:r>
      <w:r>
        <w:rPr>
          <w:rFonts w:hint="eastAsia" w:ascii="微软雅黑" w:hAnsi="微软雅黑" w:eastAsia="微软雅黑"/>
          <w:lang w:eastAsia="zh-CN"/>
        </w:rPr>
        <w:t>）无状态身份认证安全设计理论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4</w:t>
      </w:r>
    </w:p>
    <w:p w14:paraId="4DDE57EA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_Toc32192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二</w:t>
      </w:r>
      <w:r>
        <w:rPr>
          <w:rFonts w:hint="eastAsia" w:ascii="微软雅黑" w:hAnsi="微软雅黑" w:eastAsia="微软雅黑"/>
          <w:lang w:eastAsia="zh-CN"/>
        </w:rPr>
        <w:t>）基于策略模式的可扩展审核架构设计理论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4</w:t>
      </w:r>
    </w:p>
    <w:p w14:paraId="0509AFA9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_Toc25627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三</w:t>
      </w:r>
      <w:r>
        <w:rPr>
          <w:rFonts w:hint="eastAsia" w:ascii="微软雅黑" w:hAnsi="微软雅黑" w:eastAsia="微软雅黑"/>
          <w:lang w:eastAsia="zh-CN"/>
        </w:rPr>
        <w:t>）球面地理距离计算理论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4</w:t>
      </w:r>
    </w:p>
    <w:p w14:paraId="0E951104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_Toc6266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四</w:t>
      </w:r>
      <w:r>
        <w:rPr>
          <w:rFonts w:hint="eastAsia" w:ascii="微软雅黑" w:hAnsi="微软雅黑" w:eastAsia="微软雅黑"/>
          <w:lang w:eastAsia="zh-CN"/>
        </w:rPr>
        <w:t>）多维度加权相似度推荐理论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4</w:t>
      </w:r>
    </w:p>
    <w:p w14:paraId="3726D012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_Toc30715 </w:instrText>
      </w:r>
      <w:r>
        <w:fldChar w:fldCharType="separate"/>
      </w:r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五</w:t>
      </w:r>
      <w:r>
        <w:rPr>
          <w:rFonts w:hint="eastAsia" w:ascii="微软雅黑" w:hAnsi="微软雅黑" w:eastAsia="微软雅黑"/>
          <w:lang w:eastAsia="zh-CN"/>
        </w:rPr>
        <w:t>）整体软件通用设计原则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4</w:t>
      </w:r>
    </w:p>
    <w:p w14:paraId="44B1BAA6">
      <w:pPr>
        <w:pStyle w:val="8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_Toc2760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（六）参考文献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5</w:t>
      </w:r>
    </w:p>
    <w:p w14:paraId="2014CCBB">
      <w:pPr>
        <w:pStyle w:val="7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_Toc2274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七．</w:t>
      </w:r>
      <w:r>
        <w:rPr>
          <w:rFonts w:ascii="微软雅黑" w:hAnsi="微软雅黑" w:eastAsia="微软雅黑"/>
        </w:rPr>
        <w:t>软件结束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5</w:t>
      </w:r>
    </w:p>
    <w:p w14:paraId="03A869FF">
      <w:pPr>
        <w:pStyle w:val="7"/>
        <w:tabs>
          <w:tab w:val="right" w:leader="dot" w:pos="8300"/>
        </w:tabs>
        <w:rPr>
          <w:rFonts w:hint="eastAsia" w:eastAsia="宋体"/>
          <w:lang w:val="en-US" w:eastAsia="zh-CN"/>
        </w:rPr>
      </w:pPr>
      <w:r>
        <w:fldChar w:fldCharType="begin"/>
      </w:r>
      <w:r>
        <w:instrText xml:space="preserve"> HYPERLINK \l _Toc19396 </w:instrText>
      </w:r>
      <w:r>
        <w:fldChar w:fldCharType="separate"/>
      </w:r>
      <w:r>
        <w:rPr>
          <w:rFonts w:hint="eastAsia" w:ascii="微软雅黑" w:hAnsi="微软雅黑" w:eastAsia="微软雅黑"/>
          <w:lang w:val="en-US" w:eastAsia="zh-CN"/>
        </w:rPr>
        <w:t>八．</w:t>
      </w:r>
      <w:r>
        <w:rPr>
          <w:rFonts w:ascii="微软雅黑" w:hAnsi="微软雅黑" w:eastAsia="微软雅黑"/>
        </w:rPr>
        <w:t>其他功能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val="en-US" w:eastAsia="zh-CN"/>
        </w:rPr>
        <w:t>5</w:t>
      </w:r>
    </w:p>
    <w:p w14:paraId="4056DB7A">
      <w:pPr>
        <w:tabs>
          <w:tab w:val="right" w:leader="dot" w:pos="8290"/>
        </w:tabs>
        <w:ind w:left="0" w:leftChars="0" w:firstLine="0" w:firstLineChars="0"/>
        <w:outlineLvl w:val="0"/>
        <w:sectPr>
          <w:footerReference r:id="rId8" w:type="default"/>
          <w:pgSz w:w="11906" w:h="16838"/>
          <w:pgMar w:top="1440" w:right="1803" w:bottom="1440" w:left="1803" w:header="720" w:footer="720" w:gutter="0"/>
          <w:pgNumType w:start="1"/>
          <w:cols w:space="720" w:num="1"/>
          <w:docGrid w:linePitch="360" w:charSpace="0"/>
        </w:sectPr>
      </w:pPr>
      <w:r>
        <w:fldChar w:fldCharType="end"/>
      </w:r>
    </w:p>
    <w:bookmarkEnd w:id="0"/>
    <w:bookmarkEnd w:id="1"/>
    <w:p w14:paraId="344F0D45">
      <w:pPr>
        <w:pStyle w:val="2"/>
        <w:keepNext/>
        <w:rPr>
          <w:rFonts w:hint="eastAsia"/>
        </w:rPr>
      </w:pPr>
      <w:bookmarkStart w:id="2" w:name="_Toc238414457"/>
      <w:bookmarkStart w:id="3" w:name="_Toc18750"/>
      <w:r>
        <w:rPr>
          <w:rFonts w:hint="eastAsia" w:ascii="微软雅黑" w:hAnsi="微软雅黑" w:eastAsia="微软雅黑"/>
          <w:lang w:val="en-US" w:eastAsia="zh-CN"/>
        </w:rPr>
        <w:t>一．</w:t>
      </w:r>
      <w:r>
        <w:rPr>
          <w:rFonts w:ascii="微软雅黑" w:hAnsi="微软雅黑" w:eastAsia="微软雅黑"/>
        </w:rPr>
        <w:t>总体功能描述</w:t>
      </w:r>
      <w:bookmarkEnd w:id="2"/>
      <w:bookmarkEnd w:id="3"/>
    </w:p>
    <w:p w14:paraId="57BCE1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jc w:val="left"/>
        <w:textAlignment w:val="auto"/>
        <w:rPr>
          <w:rFonts w:hint="eastAsia"/>
        </w:rPr>
      </w:pPr>
      <w:r>
        <w:rPr>
          <w:rFonts w:hint="eastAsia"/>
        </w:rPr>
        <w:t>青核要解决的是高校里信息分散、身份真假难辨、线下活动难组织、校友之间缺少连接的问题。</w:t>
      </w:r>
      <w:r>
        <w:rPr>
          <w:rFonts w:hint="eastAsia"/>
          <w:lang w:val="en-US" w:eastAsia="zh-CN"/>
        </w:rPr>
        <w:t>在传统校园场景中，各类校园资源和服务杂乱分布，没有统一的聚合入口，极大影响了学生的校园生活与学习效率。</w:t>
      </w:r>
      <w:r>
        <w:rPr>
          <w:rFonts w:hint="eastAsia"/>
        </w:rPr>
        <w:t>学生获取活动、二手、社团、学习等信息，往往需要切换多个群聊、公众号和线下渠道，信息过时、重复或不可靠；线上陌生人交往又缺少可信的身份基础，组织者担心参与人员真实性，普通学生也难以判断对方是否本校学生。</w:t>
      </w:r>
      <w:r>
        <w:rPr>
          <w:rFonts w:hint="eastAsia"/>
          <w:lang w:val="en-US" w:eastAsia="zh-CN"/>
        </w:rPr>
        <w:t>软件</w:t>
      </w:r>
      <w:r>
        <w:rPr>
          <w:rFonts w:hint="eastAsia"/>
        </w:rPr>
        <w:t>把这些问题统一到一套实名认证和校内社交体系里，降低活动组织和信息发布的成本，也为校园线上互动提供更可靠的信任基础。</w:t>
      </w:r>
    </w:p>
    <w:p w14:paraId="0418C9F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ind w:firstLine="480"/>
        <w:textAlignment w:val="auto"/>
        <w:rPr>
          <w:rFonts w:hint="eastAsia"/>
        </w:rPr>
      </w:pPr>
      <w:r>
        <w:rPr>
          <w:rFonts w:hint="eastAsia"/>
        </w:rPr>
        <w:t>软件主要适用于高校校园活动组织、校友社交、校园信息发布、学习交流和二手交易等场景，目标用户为在校本科生、研究生，以及承担内容审核和管理职责的学生干部与管理员。普通学生用它找活动、找校友、发布动态和交流信息；学生干部和管理员则侧重活动发布、公告管理、内容审核和违规处理。通过身份认证和权限分层，</w:t>
      </w:r>
      <w:r>
        <w:rPr>
          <w:rFonts w:hint="eastAsia"/>
          <w:lang w:val="en-US" w:eastAsia="zh-CN"/>
        </w:rPr>
        <w:t>软件</w:t>
      </w:r>
      <w:r>
        <w:rPr>
          <w:rFonts w:hint="eastAsia"/>
        </w:rPr>
        <w:t>能够满足不同角色在校园场景中的使用需要。</w:t>
      </w:r>
    </w:p>
    <w:p w14:paraId="350809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jc w:val="left"/>
        <w:textAlignment w:val="auto"/>
        <w:rPr>
          <w:rFonts w:hint="eastAsia"/>
        </w:rPr>
      </w:pPr>
      <w:r>
        <w:rPr>
          <w:rFonts w:hint="eastAsia"/>
        </w:rPr>
        <w:t>软件的核心功能围绕注册登录、实名认证、活动、交友、动态、消息和个人中心展开。用户先用手机号注册或登录，完善学校、学院、专业等信息，再通过学信网认证获得完整使用权限。之后可以在首页浏览校园活动和公告，按分类或关键词筛选，查看活动详情并报名；有组织需求的学生可以发起组局，填写时间、地点、人数和公开范围，审核通过后发布。交友模块根据学校、专业、年级、兴趣、共同好友和活跃度推荐校友，支持附近雷达和进一步筛选；动态模块用于发布、浏览、点赞、评论和分享校园内容。整个使用流程大致是注册登录、完善资料、实名认证、浏览活动或动态、参与活动或添加好友、通过消息沟通，最后在个人中心管理发布内容、积分和认证状态。</w:t>
      </w:r>
      <w:r>
        <w:rPr>
          <w:rFonts w:hint="eastAsia"/>
          <w:lang w:val="en-US" w:eastAsia="zh-CN"/>
        </w:rPr>
        <w:t>所有功能均贴合高校校园真实使用场景设计，操作简洁易懂，无需复杂学习成本，能够快速适配学生日常使用习惯，全方位覆盖学习、社交、生活、活动组织等校园核心场景。</w:t>
      </w:r>
    </w:p>
    <w:p w14:paraId="4F3EB59C">
      <w:pPr>
        <w:pStyle w:val="2"/>
        <w:keepNext/>
        <w:rPr>
          <w:rFonts w:hint="eastAsia"/>
        </w:rPr>
      </w:pPr>
      <w:bookmarkStart w:id="4" w:name="_Toc10243"/>
      <w:bookmarkStart w:id="5" w:name="_Toc238414458"/>
      <w:r>
        <w:rPr>
          <w:rFonts w:hint="eastAsia" w:ascii="微软雅黑" w:hAnsi="微软雅黑" w:eastAsia="微软雅黑"/>
          <w:lang w:val="en-US" w:eastAsia="zh-CN"/>
        </w:rPr>
        <w:t>二．</w:t>
      </w:r>
      <w:r>
        <w:rPr>
          <w:rFonts w:ascii="微软雅黑" w:hAnsi="微软雅黑" w:eastAsia="微软雅黑"/>
        </w:rPr>
        <w:t>运行环境</w:t>
      </w:r>
      <w:bookmarkEnd w:id="4"/>
      <w:bookmarkEnd w:id="5"/>
    </w:p>
    <w:tbl>
      <w:tblPr>
        <w:tblStyle w:val="16"/>
        <w:tblW w:w="0" w:type="auto"/>
        <w:jc w:val="center"/>
        <w:tblBorders>
          <w:top w:val="single" w:color="8C8C8C" w:sz="4" w:space="0"/>
          <w:left w:val="single" w:color="8C8C8C" w:sz="4" w:space="0"/>
          <w:bottom w:val="single" w:color="8C8C8C" w:sz="4" w:space="0"/>
          <w:right w:val="single" w:color="8C8C8C" w:sz="4" w:space="0"/>
          <w:insideH w:val="single" w:color="8C8C8C" w:sz="4" w:space="0"/>
          <w:insideV w:val="single" w:color="8C8C8C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50"/>
        <w:gridCol w:w="4150"/>
      </w:tblGrid>
      <w:tr w14:paraId="5B734DFC">
        <w:tblPrEx>
          <w:tblBorders>
            <w:top w:val="single" w:color="8C8C8C" w:sz="4" w:space="0"/>
            <w:left w:val="single" w:color="8C8C8C" w:sz="4" w:space="0"/>
            <w:bottom w:val="single" w:color="8C8C8C" w:sz="4" w:space="0"/>
            <w:right w:val="single" w:color="8C8C8C" w:sz="4" w:space="0"/>
            <w:insideH w:val="single" w:color="8C8C8C" w:sz="4" w:space="0"/>
            <w:insideV w:val="single" w:color="8C8C8C" w:sz="4" w:space="0"/>
          </w:tblBorders>
        </w:tblPrEx>
        <w:trPr>
          <w:trHeight w:val="527" w:hRule="atLeast"/>
          <w:jc w:val="center"/>
        </w:trPr>
        <w:tc>
          <w:tcPr>
            <w:tcW w:w="4150" w:type="dxa"/>
          </w:tcPr>
          <w:p w14:paraId="33CA064D">
            <w:pPr>
              <w:spacing w:after="60"/>
              <w:ind w:firstLine="482"/>
              <w:jc w:val="center"/>
              <w:rPr>
                <w:rFonts w:hint="eastAsia"/>
              </w:rPr>
            </w:pPr>
            <w:r>
              <w:rPr>
                <w:b/>
              </w:rPr>
              <w:t>项目</w:t>
            </w:r>
          </w:p>
        </w:tc>
        <w:tc>
          <w:tcPr>
            <w:tcW w:w="4150" w:type="dxa"/>
          </w:tcPr>
          <w:p w14:paraId="68608FA3">
            <w:pPr>
              <w:spacing w:after="60"/>
              <w:ind w:firstLine="482"/>
              <w:rPr>
                <w:rFonts w:hint="eastAsia"/>
              </w:rPr>
            </w:pPr>
            <w:r>
              <w:rPr>
                <w:b/>
              </w:rPr>
              <w:t>基本要求</w:t>
            </w:r>
          </w:p>
        </w:tc>
      </w:tr>
      <w:tr w14:paraId="139DA3E3">
        <w:tblPrEx>
          <w:tblBorders>
            <w:top w:val="single" w:color="8C8C8C" w:sz="4" w:space="0"/>
            <w:left w:val="single" w:color="8C8C8C" w:sz="4" w:space="0"/>
            <w:bottom w:val="single" w:color="8C8C8C" w:sz="4" w:space="0"/>
            <w:right w:val="single" w:color="8C8C8C" w:sz="4" w:space="0"/>
            <w:insideH w:val="single" w:color="8C8C8C" w:sz="4" w:space="0"/>
            <w:insideV w:val="single" w:color="8C8C8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50" w:type="dxa"/>
          </w:tcPr>
          <w:p w14:paraId="71839A5B">
            <w:pPr>
              <w:spacing w:after="60"/>
              <w:ind w:firstLine="480"/>
              <w:jc w:val="center"/>
              <w:rPr>
                <w:rFonts w:hint="eastAsia"/>
              </w:rPr>
            </w:pPr>
            <w:r>
              <w:t>开发该软件的操作系统</w:t>
            </w:r>
          </w:p>
        </w:tc>
        <w:tc>
          <w:tcPr>
            <w:tcW w:w="4150" w:type="dxa"/>
          </w:tcPr>
          <w:p w14:paraId="60C57EC8">
            <w:pPr>
              <w:spacing w:after="60"/>
              <w:ind w:firstLine="480"/>
              <w:rPr>
                <w:rFonts w:hint="eastAsia"/>
              </w:rPr>
            </w:pPr>
            <w:r>
              <w:t>Windows</w:t>
            </w:r>
            <w:r>
              <w:rPr>
                <w:rFonts w:hint="eastAsia"/>
              </w:rPr>
              <w:t>11</w:t>
            </w:r>
          </w:p>
        </w:tc>
      </w:tr>
      <w:tr w14:paraId="2449206F">
        <w:tblPrEx>
          <w:tblBorders>
            <w:top w:val="single" w:color="8C8C8C" w:sz="4" w:space="0"/>
            <w:left w:val="single" w:color="8C8C8C" w:sz="4" w:space="0"/>
            <w:bottom w:val="single" w:color="8C8C8C" w:sz="4" w:space="0"/>
            <w:right w:val="single" w:color="8C8C8C" w:sz="4" w:space="0"/>
            <w:insideH w:val="single" w:color="8C8C8C" w:sz="4" w:space="0"/>
            <w:insideV w:val="single" w:color="8C8C8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50" w:type="dxa"/>
          </w:tcPr>
          <w:p w14:paraId="21A4FE27">
            <w:pPr>
              <w:spacing w:after="60"/>
              <w:ind w:firstLine="480"/>
              <w:jc w:val="center"/>
              <w:rPr>
                <w:rFonts w:hint="eastAsia"/>
              </w:rPr>
            </w:pPr>
            <w:r>
              <w:t>软件开发环境/开发工具</w:t>
            </w:r>
          </w:p>
        </w:tc>
        <w:tc>
          <w:tcPr>
            <w:tcW w:w="4150" w:type="dxa"/>
          </w:tcPr>
          <w:p w14:paraId="62D1E17E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13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前端开发工具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：Node.js≥22.11.0、ReactNative0.85.3、React19.2.3、TypeScript5.8.3；Android编译工具：AndroidStudio、Android compileSdk/targetSdk36、AndroidminSdk24、AndroidbuildTools36.0.0、NDK27.0.12077973、Kotlin2.1.20、Gradle9.3.1；第三方SDK：react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native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chat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sdk1.15.3、阿里云推送SDK3.8.7</w:t>
            </w:r>
          </w:p>
          <w:p w14:paraId="00D7C3B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</w:rPr>
            </w:pPr>
            <w:r>
              <w:rPr>
                <w:rStyle w:val="13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后端开发工具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：JDK1.8、SpringBoot2.7.18；依赖组件：jjwt0.11.5、阿里云OSS3.17.4、阿里云VOD2.16.5、阿里云推送3.13.10、im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sdk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core0.8.56、ZXing3.5.3、Jsoup1.17.2</w:t>
            </w:r>
          </w:p>
        </w:tc>
      </w:tr>
      <w:tr w14:paraId="59747251">
        <w:tblPrEx>
          <w:tblBorders>
            <w:top w:val="single" w:color="8C8C8C" w:sz="4" w:space="0"/>
            <w:left w:val="single" w:color="8C8C8C" w:sz="4" w:space="0"/>
            <w:bottom w:val="single" w:color="8C8C8C" w:sz="4" w:space="0"/>
            <w:right w:val="single" w:color="8C8C8C" w:sz="4" w:space="0"/>
            <w:insideH w:val="single" w:color="8C8C8C" w:sz="4" w:space="0"/>
            <w:insideV w:val="single" w:color="8C8C8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50" w:type="dxa"/>
          </w:tcPr>
          <w:p w14:paraId="246E1400">
            <w:pPr>
              <w:spacing w:after="60"/>
              <w:ind w:firstLine="480"/>
              <w:jc w:val="center"/>
              <w:rPr>
                <w:rFonts w:hint="eastAsia"/>
              </w:rPr>
            </w:pPr>
            <w:r>
              <w:t>该软件的运行平台/操作系统</w:t>
            </w:r>
          </w:p>
        </w:tc>
        <w:tc>
          <w:tcPr>
            <w:tcW w:w="4150" w:type="dxa"/>
          </w:tcPr>
          <w:p w14:paraId="54C95BC8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Style w:val="13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客户端运行平台：</w:t>
            </w:r>
            <w:r>
              <w:rPr>
                <w:rFonts w:ascii="宋体" w:hAnsi="宋体" w:eastAsia="宋体" w:cs="宋体"/>
                <w:sz w:val="24"/>
                <w:szCs w:val="24"/>
              </w:rPr>
              <w:t>Android移动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端，</w:t>
            </w:r>
            <w:r>
              <w:rPr>
                <w:rFonts w:ascii="宋体" w:hAnsi="宋体" w:eastAsia="宋体" w:cs="宋体"/>
                <w:sz w:val="24"/>
                <w:szCs w:val="24"/>
              </w:rPr>
              <w:t>minSdk=24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compileSdk/targetSdk=36，buildTools=36.0.0</w:t>
            </w:r>
          </w:p>
          <w:p w14:paraId="22416C65">
            <w:pPr>
              <w:jc w:val="left"/>
              <w:rPr>
                <w:rFonts w:hint="eastAsia"/>
              </w:rPr>
            </w:pPr>
            <w:r>
              <w:rPr>
                <w:rStyle w:val="13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服务端运行平台：</w:t>
            </w:r>
            <w:r>
              <w:rPr>
                <w:rFonts w:ascii="宋体" w:hAnsi="宋体" w:eastAsia="宋体" w:cs="宋体"/>
                <w:sz w:val="24"/>
                <w:szCs w:val="24"/>
              </w:rPr>
              <w:t>Linux云服务器；数据库MySQL8；中间件Redis、RabbitMQ</w:t>
            </w:r>
          </w:p>
        </w:tc>
      </w:tr>
    </w:tbl>
    <w:p w14:paraId="6EFC6315">
      <w:pPr>
        <w:pStyle w:val="2"/>
        <w:keepNext/>
        <w:rPr>
          <w:rFonts w:hint="eastAsia"/>
        </w:rPr>
      </w:pPr>
      <w:bookmarkStart w:id="6" w:name="_Toc238414459"/>
      <w:bookmarkStart w:id="7" w:name="_Toc15654"/>
      <w:r>
        <w:rPr>
          <w:rFonts w:hint="eastAsia" w:ascii="微软雅黑" w:hAnsi="微软雅黑" w:eastAsia="微软雅黑"/>
          <w:lang w:val="en-US" w:eastAsia="zh-CN"/>
        </w:rPr>
        <w:t>三．</w:t>
      </w:r>
      <w:r>
        <w:rPr>
          <w:rFonts w:ascii="微软雅黑" w:hAnsi="微软雅黑" w:eastAsia="微软雅黑"/>
        </w:rPr>
        <w:t>软件编译环境</w:t>
      </w:r>
      <w:bookmarkEnd w:id="6"/>
      <w:bookmarkEnd w:id="7"/>
    </w:p>
    <w:p w14:paraId="63721782">
      <w:pPr>
        <w:keepNext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ind w:firstLine="480"/>
        <w:jc w:val="left"/>
        <w:textAlignment w:val="auto"/>
        <w:rPr>
          <w:rFonts w:hint="eastAsia"/>
        </w:rPr>
      </w:pPr>
      <w:r>
        <w:t>本软件采用移动端与服务端分离构建。客户端采用ReactNative跨端方案，使用AndroidStudio编译Android端；Android构建输出APK安装包。构建前需配置JDK、AndroidSDK、签名证书等环境，并使用与开发环境一致的工具链完成签名和发布。本项目编译构建对工具版本依赖性较强，开发编译环境必须使用项目指定版本软件，工具版本与项目配置不一致会出现编译报错、构建失败问题，截图为项目编译运行成功的界面，可作为环境配置正确的参考依据。服务端在主流Linux云服务器环境中构建部署，具体</w:t>
      </w:r>
      <w:r>
        <w:rPr>
          <w:rFonts w:hint="eastAsia"/>
        </w:rPr>
        <w:t>开</w:t>
      </w:r>
      <w:r>
        <w:t>发工具版本如上表所示。项目启动成功</w:t>
      </w:r>
      <w:r>
        <w:rPr>
          <w:rFonts w:hint="eastAsia"/>
        </w:rPr>
        <w:t>截图</w:t>
      </w:r>
      <w:r>
        <w:t>如图1所示。</w:t>
      </w:r>
      <w:r>
        <w:drawing>
          <wp:inline distT="0" distB="0" distL="114300" distR="114300">
            <wp:extent cx="5029200" cy="2769870"/>
            <wp:effectExtent l="0" t="0" r="0" b="1143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7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CD23C">
      <w:pPr>
        <w:spacing w:before="60" w:after="200" w:line="240" w:lineRule="auto"/>
        <w:ind w:firstLine="361"/>
        <w:jc w:val="center"/>
        <w:rPr>
          <w:rFonts w:hint="eastAsia" w:ascii="微软雅黑" w:hAnsi="微软雅黑" w:eastAsia="微软雅黑"/>
        </w:rPr>
      </w:pPr>
      <w:r>
        <w:rPr>
          <w:b/>
          <w:color w:val="595959"/>
          <w:sz w:val="18"/>
        </w:rPr>
        <w:t>图1 项目启动成功</w:t>
      </w:r>
    </w:p>
    <w:p w14:paraId="401A12E0">
      <w:pPr>
        <w:pStyle w:val="2"/>
        <w:keepNext/>
        <w:rPr>
          <w:rFonts w:hint="eastAsia" w:ascii="微软雅黑" w:hAnsi="微软雅黑" w:eastAsia="微软雅黑"/>
        </w:rPr>
      </w:pPr>
      <w:bookmarkStart w:id="8" w:name="_Toc238414460"/>
      <w:bookmarkStart w:id="9" w:name="_Toc19994"/>
      <w:r>
        <w:rPr>
          <w:rFonts w:hint="eastAsia" w:ascii="微软雅黑" w:hAnsi="微软雅黑" w:eastAsia="微软雅黑"/>
          <w:lang w:val="en-US" w:eastAsia="zh-CN"/>
        </w:rPr>
        <w:t>四．</w:t>
      </w:r>
      <w:r>
        <w:rPr>
          <w:rFonts w:ascii="微软雅黑" w:hAnsi="微软雅黑" w:eastAsia="微软雅黑"/>
        </w:rPr>
        <w:t>软件安装说明</w:t>
      </w:r>
      <w:bookmarkEnd w:id="8"/>
      <w:bookmarkEnd w:id="9"/>
    </w:p>
    <w:p w14:paraId="4352F55D">
      <w:pPr>
        <w:spacing w:line="440" w:lineRule="exact"/>
        <w:ind w:firstLine="480"/>
        <w:rPr>
          <w:rFonts w:hint="eastAsia"/>
        </w:rPr>
      </w:pPr>
      <w:r>
        <w:t>将编译输出的.apk安装包拷贝至Android手机存储；在手机文件管理器中找到该APK文件；开启设备</w:t>
      </w:r>
      <w:r>
        <w:rPr>
          <w:rFonts w:hint="eastAsia"/>
        </w:rPr>
        <w:t>“</w:t>
      </w:r>
      <w:r>
        <w:t>允许安装未知来源应用</w:t>
      </w:r>
      <w:r>
        <w:rPr>
          <w:rFonts w:hint="eastAsia"/>
        </w:rPr>
        <w:t>”</w:t>
      </w:r>
      <w:r>
        <w:t>权限；点击APK文件，按照页面提示完成安装；安装完成后，桌面生成软件应用图标。</w:t>
      </w:r>
    </w:p>
    <w:p w14:paraId="609BD064">
      <w:pPr>
        <w:pStyle w:val="2"/>
        <w:keepNext/>
        <w:rPr>
          <w:rFonts w:hint="eastAsia"/>
        </w:rPr>
      </w:pPr>
      <w:bookmarkStart w:id="10" w:name="_Toc15386"/>
      <w:bookmarkStart w:id="11" w:name="_Toc238414461"/>
      <w:r>
        <w:rPr>
          <w:rFonts w:hint="eastAsia" w:ascii="微软雅黑" w:hAnsi="微软雅黑" w:eastAsia="微软雅黑"/>
          <w:lang w:val="en-US" w:eastAsia="zh-CN"/>
        </w:rPr>
        <w:t>五．</w:t>
      </w:r>
      <w:r>
        <w:rPr>
          <w:rFonts w:ascii="微软雅黑" w:hAnsi="微软雅黑" w:eastAsia="微软雅黑"/>
        </w:rPr>
        <w:t>软件使用</w:t>
      </w:r>
      <w:bookmarkEnd w:id="10"/>
      <w:bookmarkEnd w:id="11"/>
    </w:p>
    <w:p w14:paraId="549683D6">
      <w:pPr>
        <w:pStyle w:val="3"/>
        <w:keepNext/>
        <w:ind w:left="0" w:leftChars="0" w:firstLine="480" w:firstLineChars="200"/>
        <w:rPr>
          <w:rFonts w:hint="eastAsia"/>
        </w:rPr>
      </w:pPr>
      <w:bookmarkStart w:id="12" w:name="_Toc6578"/>
      <w:bookmarkStart w:id="13" w:name="_Toc238414462"/>
      <w:r>
        <w:rPr>
          <w:rFonts w:hint="eastAsia" w:ascii="微软雅黑" w:hAnsi="微软雅黑" w:eastAsia="微软雅黑"/>
          <w:lang w:val="en-US" w:eastAsia="zh-CN"/>
        </w:rPr>
        <w:t>（一）</w:t>
      </w:r>
      <w:r>
        <w:rPr>
          <w:rFonts w:ascii="微软雅黑" w:hAnsi="微软雅黑" w:eastAsia="微软雅黑"/>
        </w:rPr>
        <w:t>注册登录</w:t>
      </w:r>
      <w:bookmarkEnd w:id="12"/>
      <w:bookmarkEnd w:id="13"/>
    </w:p>
    <w:p w14:paraId="2D4C9E15">
      <w:pPr>
        <w:keepNext/>
        <w:spacing w:line="440" w:lineRule="exact"/>
        <w:ind w:firstLine="480"/>
        <w:rPr>
          <w:rFonts w:hint="eastAsia"/>
        </w:rPr>
      </w:pPr>
      <w:r>
        <w:t>进入“青核”应用后，系统首先展示登录页。登录页顶部显示青核品牌标识，主体区域提供“密码登录”和“验证码登录”两种方式。使用密码登录时，用户需在手机号输入框中填写已注册手机号，在密码输入框中输入对应密码；使用验证码登录时，系统会向该手机号发送短信验证码，用户填写验证码后即可完成身份校验。点击“登录”按钮后，系统会</w:t>
      </w:r>
      <w:r>
        <w:rPr>
          <w:rFonts w:hint="eastAsia"/>
          <w:lang w:val="en-US" w:eastAsia="zh-CN"/>
        </w:rPr>
        <w:t>检查</w:t>
      </w:r>
      <w:r>
        <w:t>手机号格式、密码是否</w:t>
      </w:r>
      <w:r>
        <w:rPr>
          <w:rFonts w:hint="eastAsia"/>
          <w:lang w:val="en-US" w:eastAsia="zh-CN"/>
        </w:rPr>
        <w:t>正确或者</w:t>
      </w:r>
      <w:r>
        <w:t>验证码是否正确。校验不通过时，页面会在对应字段</w:t>
      </w:r>
      <w:r>
        <w:rPr>
          <w:rFonts w:hint="eastAsia"/>
          <w:lang w:val="en-US" w:eastAsia="zh-CN"/>
        </w:rPr>
        <w:t>上</w:t>
      </w:r>
      <w:r>
        <w:t>方提示具体原因；校验通过后，系统生成登录凭证并自动跳转至首页。登录页面如图2所示。</w:t>
      </w:r>
    </w:p>
    <w:p w14:paraId="6F595056">
      <w:pPr>
        <w:keepNext/>
        <w:ind w:firstLine="48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340100" cy="5463540"/>
            <wp:effectExtent l="0" t="0" r="0" b="10160"/>
            <wp:docPr id="5" name="图片 5" descr="0329d9aebb3936c7aea43b7a25b188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329d9aebb3936c7aea43b7a25b1886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BE2BC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2</w:t>
      </w:r>
      <w:r>
        <w:rPr>
          <w:b/>
          <w:color w:val="595959"/>
          <w:sz w:val="18"/>
        </w:rPr>
        <w:t xml:space="preserve"> 登录页</w:t>
      </w:r>
    </w:p>
    <w:p w14:paraId="55E62AED">
      <w:pPr>
        <w:keepNext/>
        <w:spacing w:line="440" w:lineRule="exact"/>
        <w:ind w:firstLine="480"/>
        <w:rPr>
          <w:rFonts w:hint="eastAsia"/>
        </w:rPr>
      </w:pPr>
      <w:r>
        <w:t>首次使用应用的用户可点击登录页下方的“</w:t>
      </w:r>
      <w:r>
        <w:rPr>
          <w:rFonts w:hint="eastAsia"/>
          <w:lang w:val="en-US" w:eastAsia="zh-CN"/>
        </w:rPr>
        <w:t>没有</w:t>
      </w:r>
      <w:r>
        <w:t>账号</w:t>
      </w:r>
      <w:r>
        <w:rPr>
          <w:rFonts w:hint="eastAsia"/>
          <w:lang w:eastAsia="zh-CN"/>
        </w:rPr>
        <w:t>？</w:t>
      </w:r>
      <w:r>
        <w:rPr>
          <w:rFonts w:hint="eastAsia"/>
          <w:lang w:val="en-US" w:eastAsia="zh-CN"/>
        </w:rPr>
        <w:t>去注册</w:t>
      </w:r>
      <w:r>
        <w:t>”进入注册页。注册页提供手机号输入框、密码设置框、短信验证码输入框、学校选择器以及用户协议勾选区。用户应先填写常用手机号，</w:t>
      </w:r>
      <w:r>
        <w:rPr>
          <w:rFonts w:hint="eastAsia"/>
          <w:lang w:val="en-US" w:eastAsia="zh-CN"/>
        </w:rPr>
        <w:t>设置密码</w:t>
      </w:r>
      <w:r>
        <w:rPr>
          <w:rFonts w:hint="eastAsia"/>
          <w:lang w:eastAsia="zh-CN"/>
        </w:rPr>
        <w:t>，</w:t>
      </w:r>
      <w:r>
        <w:t>密码需设置为字母与数字组合，并按页面提示满足长度要求</w:t>
      </w:r>
      <w:r>
        <w:rPr>
          <w:rFonts w:hint="eastAsia"/>
          <w:lang w:eastAsia="zh-CN"/>
        </w:rPr>
        <w:t>。</w:t>
      </w:r>
      <w:r>
        <w:t>点击“获取验证码”后，系统会向该手机号发送6位数字验证码；验证码具有时效限制，若未收到或已过期，可重新获取。</w:t>
      </w:r>
      <w:r>
        <w:rPr>
          <w:rFonts w:hint="eastAsia"/>
          <w:lang w:val="en-US" w:eastAsia="zh-CN"/>
        </w:rPr>
        <w:t>点击“</w:t>
      </w:r>
      <w:r>
        <w:t>学校选择器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选择自己的学校</w:t>
      </w:r>
      <w:r>
        <w:rPr>
          <w:rFonts w:hint="eastAsia"/>
          <w:lang w:eastAsia="zh-CN"/>
        </w:rPr>
        <w:t>。</w:t>
      </w:r>
      <w:r>
        <w:t>提交注册前必须勾选用户协议</w:t>
      </w:r>
      <w:r>
        <w:rPr>
          <w:rFonts w:hint="eastAsia"/>
          <w:lang w:val="en-US" w:eastAsia="zh-CN"/>
        </w:rPr>
        <w:t>和隐私政策</w:t>
      </w:r>
      <w:r>
        <w:t>。完成全部信息填写后，点击“立即注册”按钮，系统会再次校验手机号唯一性、验证码有效性</w:t>
      </w:r>
      <w:r>
        <w:rPr>
          <w:rFonts w:hint="eastAsia"/>
          <w:lang w:val="en-US" w:eastAsia="zh-CN"/>
        </w:rPr>
        <w:t>和</w:t>
      </w:r>
      <w:r>
        <w:t>密码格式；校验通过后进入注册成功页，校验不通过时在对应输入框旁提示错误原因。注册页面如图3所示。</w:t>
      </w:r>
    </w:p>
    <w:p w14:paraId="7A099DC3">
      <w:pPr>
        <w:keepNext/>
        <w:ind w:firstLine="48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109595" cy="6012815"/>
            <wp:effectExtent l="0" t="0" r="1905" b="6985"/>
            <wp:docPr id="6" name="图片 6" descr="013bb70f271dbe51048ca639c865a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13bb70f271dbe51048ca639c865a45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09595" cy="601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D518F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3</w:t>
      </w:r>
      <w:r>
        <w:rPr>
          <w:b/>
          <w:color w:val="595959"/>
          <w:sz w:val="18"/>
        </w:rPr>
        <w:t xml:space="preserve"> 注册页</w:t>
      </w:r>
    </w:p>
    <w:p w14:paraId="707EA547">
      <w:pPr>
        <w:keepNext/>
        <w:spacing w:line="440" w:lineRule="exact"/>
        <w:ind w:firstLine="480"/>
        <w:rPr>
          <w:rFonts w:hint="eastAsia"/>
        </w:rPr>
      </w:pPr>
      <w:r>
        <w:t>注册成功后，系统会展示注册成功提示页。页面提供“完善资料”和“跳过，直接进入”两个操作入口。点击“完善资料”可继续完成昵称、性别、学校信息、家乡与兴趣标签等资料填写；点击“跳过，直接进入”则暂时使用手机号注册信息进入首页，后续仍可在个人中心补充资料。若用户跳过资料填写或未完成实名认证，系统在使用交友、附近雷达、动态发布、活动报名等核心功能时，会提示完成资料补充或实名认证。注册成功页面如图4所示。</w:t>
      </w:r>
    </w:p>
    <w:p w14:paraId="459775D3">
      <w:pPr>
        <w:keepNext/>
        <w:ind w:firstLine="48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449320" cy="5951220"/>
            <wp:effectExtent l="0" t="0" r="5080" b="5080"/>
            <wp:docPr id="8" name="图片 8" descr="705fed902f464e22ec844840f367fa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05fed902f464e22ec844840f367fad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0022E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4</w:t>
      </w:r>
      <w:r>
        <w:rPr>
          <w:b/>
          <w:color w:val="595959"/>
          <w:sz w:val="18"/>
        </w:rPr>
        <w:t xml:space="preserve"> 注册成功页</w:t>
      </w:r>
    </w:p>
    <w:p w14:paraId="55B09971">
      <w:pPr>
        <w:keepNext/>
        <w:spacing w:line="440" w:lineRule="exact"/>
        <w:ind w:firstLine="480"/>
        <w:rPr>
          <w:rFonts w:hint="eastAsia"/>
        </w:rPr>
      </w:pPr>
      <w:r>
        <w:t>完善资料流程由基础信息、学校信息、家乡与兴趣三个步骤组成。基础信息步骤用于填写昵称并选择性别；学校信息步骤用于填写大学、学院、专业字段，高中学校为选填项。家乡与兴趣步骤提供省、市、区县三级选择器和阅读、音乐、电影、游戏、运动、旅行、摄影、美食、编程、艺术、舞蹈、健身、宠物、咖啡、唱歌、写作等兴趣标签，用户可多选。完成当前步骤后点击“下一步”进入后续步骤，全部填写完成后系统进入首页。完善资料（学校信息）页面如图5所示。</w:t>
      </w:r>
    </w:p>
    <w:p w14:paraId="72FB721E">
      <w:pPr>
        <w:keepNext/>
        <w:ind w:firstLine="480"/>
        <w:jc w:val="center"/>
        <w:rPr>
          <w:rFonts w:hint="eastAsia"/>
        </w:rPr>
      </w:pPr>
      <w:r>
        <w:drawing>
          <wp:inline distT="0" distB="0" distL="0" distR="0">
            <wp:extent cx="3387725" cy="5455920"/>
            <wp:effectExtent l="0" t="0" r="3175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545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4454B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5</w:t>
      </w:r>
      <w:r>
        <w:rPr>
          <w:b/>
          <w:color w:val="595959"/>
          <w:sz w:val="18"/>
        </w:rPr>
        <w:t xml:space="preserve"> 完善资料（学校信息）</w:t>
      </w:r>
      <w:bookmarkStart w:id="14" w:name="_Toc238414463"/>
    </w:p>
    <w:p w14:paraId="1DFC3A99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</w:p>
    <w:p w14:paraId="428F3C0B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</w:p>
    <w:p w14:paraId="77ACC6EB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</w:p>
    <w:p w14:paraId="00E2475F">
      <w:pPr>
        <w:pStyle w:val="3"/>
        <w:keepNext/>
        <w:ind w:left="0" w:leftChars="0" w:firstLine="480" w:firstLineChars="200"/>
        <w:rPr>
          <w:rFonts w:hint="eastAsia" w:ascii="微软雅黑" w:hAnsi="微软雅黑" w:eastAsia="微软雅黑"/>
        </w:rPr>
      </w:pPr>
      <w:bookmarkStart w:id="15" w:name="_Toc11149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二</w:t>
      </w:r>
      <w:r>
        <w:rPr>
          <w:rFonts w:hint="eastAsia" w:ascii="微软雅黑" w:hAnsi="微软雅黑" w:eastAsia="微软雅黑"/>
          <w:lang w:eastAsia="zh-CN"/>
        </w:rPr>
        <w:t>）</w:t>
      </w:r>
      <w:r>
        <w:rPr>
          <w:rFonts w:ascii="微软雅黑" w:hAnsi="微软雅黑" w:eastAsia="微软雅黑"/>
        </w:rPr>
        <w:t>首页与校园活动</w:t>
      </w:r>
      <w:bookmarkEnd w:id="14"/>
      <w:bookmarkEnd w:id="15"/>
    </w:p>
    <w:p w14:paraId="03D8C7CE">
      <w:pPr>
        <w:keepNext/>
        <w:spacing w:line="440" w:lineRule="exact"/>
        <w:ind w:firstLine="480"/>
        <w:rPr>
          <w:rFonts w:hint="eastAsia"/>
        </w:rPr>
      </w:pPr>
      <w:r>
        <w:t>首页采用信息聚合布局，自上而下展示顶部用户信息、校园活动轮播Banner、组局活动卡片和好友推荐卡片。顶部用户信息区显示当前用户头像和昵称；点击头像可进入个人中心，点击右上角“+”可打开“扫一扫”和“添加好友”入口。校园活动轮播Banner用于展示重点活动或公告，点击后进入公告中心或对应活动详情。组局活动卡片展示活动名称、时间、地点和报名状态，支持“立即加入”和查看更多操作。好友推荐卡片展示推荐用户的头像、昵称、匹配度等关键信息，用户可点击卡片进入用户资料页，也可使用“换一批”刷新推荐结果。首页还提供AI助手入口，用于聚合活动提醒、动态评论、好友消息和系统推荐。首页主界面如图6所示。</w:t>
      </w:r>
    </w:p>
    <w:tbl>
      <w:tblPr>
        <w:tblStyle w:val="11"/>
        <w:tblW w:w="7780" w:type="dxa"/>
        <w:jc w:val="center"/>
        <w:tblCellSpacing w:w="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0"/>
        <w:gridCol w:w="3890"/>
      </w:tblGrid>
      <w:tr w14:paraId="6BB82B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1" w:hRule="atLeast"/>
          <w:tblCellSpacing w:w="40" w:type="dxa"/>
          <w:jc w:val="center"/>
        </w:trPr>
        <w:tc>
          <w:tcPr>
            <w:tcW w:w="3770" w:type="dxa"/>
          </w:tcPr>
          <w:p w14:paraId="2E75D778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3160" cy="3721735"/>
                  <wp:effectExtent l="0" t="0" r="2540" b="12065"/>
                  <wp:docPr id="5211" name="Picture 5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1" name="Picture 521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372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0" w:type="dxa"/>
          </w:tcPr>
          <w:p w14:paraId="79D7ED51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3160" cy="3606800"/>
                  <wp:effectExtent l="0" t="0" r="2540" b="0"/>
                  <wp:docPr id="5212" name="Picture 5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2" name="Picture 52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36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77A044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6</w:t>
      </w:r>
      <w:r>
        <w:rPr>
          <w:b/>
          <w:color w:val="595959"/>
          <w:sz w:val="18"/>
        </w:rPr>
        <w:t xml:space="preserve"> 首页主界面</w:t>
      </w:r>
    </w:p>
    <w:p w14:paraId="04FBFC5F">
      <w:pPr>
        <w:keepNext/>
        <w:spacing w:line="440" w:lineRule="exact"/>
        <w:ind w:left="0" w:leftChars="0" w:firstLine="480" w:firstLineChars="200"/>
        <w:rPr>
          <w:rFonts w:hint="eastAsia"/>
        </w:rPr>
      </w:pPr>
      <w:r>
        <w:t>组局活动列表页以活动卡片流形式展示当前可参与的活动，页面提供搜索框、活动分类、热门</w:t>
      </w:r>
      <w:r>
        <w:rPr>
          <w:rFonts w:hint="eastAsia"/>
          <w:lang w:val="en-US" w:eastAsia="zh-CN"/>
        </w:rPr>
        <w:t>或</w:t>
      </w:r>
      <w:r>
        <w:t>我的标签以及“发起”按钮。活动分类包括全部、学习、游戏、运动、干饭、娱乐、出行和求职，点击分类可快速筛选对应活动；切换“热门”标签可按热度查看活动，切换“我的”标签可查看与当前用户相关的活动。用户可在搜索框输入活动关键词，系统按标题、地点或主办方信息进行检索。点击活动卡片进入活动详情页，点击卡片上的“加入”按钮可提交报名，点击“群聊”可进入活动群聊，点击右上角“发起”可创建新活动。组局活动列表页面如图7所示。</w:t>
      </w:r>
    </w:p>
    <w:tbl>
      <w:tblPr>
        <w:tblStyle w:val="11"/>
        <w:tblW w:w="7792" w:type="dxa"/>
        <w:jc w:val="center"/>
        <w:tblCellSpacing w:w="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6"/>
        <w:gridCol w:w="3896"/>
      </w:tblGrid>
      <w:tr w14:paraId="570AA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9" w:hRule="atLeast"/>
          <w:tblCellSpacing w:w="40" w:type="dxa"/>
          <w:jc w:val="center"/>
        </w:trPr>
        <w:tc>
          <w:tcPr>
            <w:tcW w:w="3816" w:type="dxa"/>
          </w:tcPr>
          <w:p w14:paraId="520D7AB7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3160" cy="3471545"/>
                  <wp:effectExtent l="0" t="0" r="2540" b="8255"/>
                  <wp:docPr id="5213" name="Picture 5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3" name="Picture 521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347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</w:tcPr>
          <w:p w14:paraId="6A298CC7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3160" cy="4051935"/>
                  <wp:effectExtent l="0" t="0" r="2540" b="12065"/>
                  <wp:docPr id="5214" name="Picture 5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4" name="Picture 521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05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EB14A3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7</w:t>
      </w:r>
      <w:r>
        <w:rPr>
          <w:b/>
          <w:color w:val="595959"/>
          <w:sz w:val="18"/>
        </w:rPr>
        <w:t xml:space="preserve"> 组局活动列表页</w:t>
      </w:r>
    </w:p>
    <w:p w14:paraId="313D9B6B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</w:p>
    <w:p w14:paraId="5689AC52">
      <w:pPr>
        <w:keepNext/>
        <w:spacing w:line="440" w:lineRule="exact"/>
        <w:ind w:left="0" w:leftChars="0" w:firstLine="480" w:firstLineChars="200"/>
        <w:rPr>
          <w:b/>
          <w:color w:val="595959"/>
          <w:sz w:val="18"/>
        </w:rPr>
      </w:pPr>
      <w:r>
        <w:t>发起活动页采用表单方式收集活动信息，用户需要选择活动类型，并填写标题、描述、地点、日期、时间、人数上限和公开范围，同时上传活动封面。公开范围可选择仅本校学生可见，或按地理距离自定义多所高校。除基础字段外，用户还可添加自定义标签，用于更准确地描述活动内容。填写完成后点击“发布”按钮，活动进入“我的组局”中的待审核状态；审核通过后展示在活动列表，审核未通过时用户可在个人中心查看打回原因并重新编辑提交。发起活动页面如图8所示。</w:t>
      </w:r>
    </w:p>
    <w:p w14:paraId="69737B5E">
      <w:pPr>
        <w:spacing w:before="60" w:after="200" w:line="240" w:lineRule="auto"/>
        <w:ind w:firstLine="361"/>
        <w:jc w:val="both"/>
        <w:rPr>
          <w:b/>
          <w:color w:val="595959"/>
          <w:sz w:val="18"/>
        </w:rPr>
      </w:pPr>
    </w:p>
    <w:tbl>
      <w:tblPr>
        <w:tblStyle w:val="11"/>
        <w:tblW w:w="7232" w:type="dxa"/>
        <w:jc w:val="center"/>
        <w:tblCellSpacing w:w="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41"/>
        <w:gridCol w:w="3591"/>
      </w:tblGrid>
      <w:tr w14:paraId="45C3F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9" w:hRule="atLeast"/>
          <w:tblCellSpacing w:w="40" w:type="dxa"/>
          <w:jc w:val="center"/>
        </w:trPr>
        <w:tc>
          <w:tcPr>
            <w:tcW w:w="3521" w:type="dxa"/>
          </w:tcPr>
          <w:p w14:paraId="6F1118D1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183765" cy="4094480"/>
                  <wp:effectExtent l="0" t="0" r="635" b="7620"/>
                  <wp:docPr id="5215" name="Picture 5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5" name="Picture 521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765" cy="409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1" w:type="dxa"/>
          </w:tcPr>
          <w:p w14:paraId="7DF1F153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1991995" cy="4072255"/>
                  <wp:effectExtent l="0" t="0" r="1905" b="4445"/>
                  <wp:docPr id="5216" name="Picture 5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6" name="Picture 521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995" cy="407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ECF40E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8</w:t>
      </w:r>
      <w:r>
        <w:rPr>
          <w:b/>
          <w:color w:val="595959"/>
          <w:sz w:val="18"/>
        </w:rPr>
        <w:t xml:space="preserve"> 发起活动页</w:t>
      </w:r>
    </w:p>
    <w:p w14:paraId="627A8BA7">
      <w:pPr>
        <w:keepNext/>
        <w:spacing w:line="440" w:lineRule="exact"/>
        <w:ind w:firstLine="480"/>
        <w:rPr>
          <w:rFonts w:hint="eastAsia"/>
          <w:b/>
          <w:color w:val="595959"/>
          <w:sz w:val="18"/>
        </w:rPr>
      </w:pPr>
      <w:r>
        <w:t>活动详情页展示活动的完整信息，包括活动封面、活动标签、时间、地点、人数进度、活动简介、详细流程和主办方信息。页面底部提供分享、报名或加入群聊等操作，用户可根据活动类型完成报名或进入群聊沟通。报名人数达到人数上限后，系统会提示无法继续报名。活动详情页面如图9所示。</w:t>
      </w:r>
    </w:p>
    <w:p w14:paraId="49D988C9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</w:p>
    <w:p w14:paraId="45F6AF6A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drawing>
          <wp:inline distT="0" distB="0" distL="0" distR="0">
            <wp:extent cx="2706370" cy="6315075"/>
            <wp:effectExtent l="0" t="0" r="11430" b="9525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CDE78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9</w:t>
      </w:r>
      <w:r>
        <w:rPr>
          <w:b/>
          <w:color w:val="595959"/>
          <w:sz w:val="18"/>
        </w:rPr>
        <w:t xml:space="preserve"> 活动详情页</w:t>
      </w:r>
    </w:p>
    <w:p w14:paraId="5B3F9C40">
      <w:pPr>
        <w:pStyle w:val="3"/>
        <w:keepNext/>
        <w:numPr>
          <w:ilvl w:val="0"/>
          <w:numId w:val="0"/>
        </w:numPr>
        <w:ind w:leftChars="0"/>
        <w:rPr>
          <w:rFonts w:hint="eastAsia"/>
        </w:rPr>
      </w:pPr>
      <w:bookmarkStart w:id="16" w:name="_Toc238414464"/>
      <w:bookmarkStart w:id="17" w:name="_Toc20931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三</w:t>
      </w:r>
      <w:r>
        <w:rPr>
          <w:rFonts w:hint="eastAsia" w:ascii="微软雅黑" w:hAnsi="微软雅黑" w:eastAsia="微软雅黑"/>
          <w:lang w:eastAsia="zh-CN"/>
        </w:rPr>
        <w:t>）</w:t>
      </w:r>
      <w:r>
        <w:rPr>
          <w:rFonts w:ascii="微软雅黑" w:hAnsi="微软雅黑" w:eastAsia="微软雅黑"/>
        </w:rPr>
        <w:t>校园交友</w:t>
      </w:r>
      <w:bookmarkEnd w:id="16"/>
      <w:bookmarkEnd w:id="17"/>
    </w:p>
    <w:p w14:paraId="325A2A6D">
      <w:pPr>
        <w:keepNext/>
        <w:spacing w:line="440" w:lineRule="exact"/>
        <w:ind w:firstLine="480"/>
        <w:rPr>
          <w:rFonts w:hint="eastAsia"/>
        </w:rPr>
      </w:pPr>
      <w:r>
        <w:rPr>
          <w:rFonts w:hint="eastAsia"/>
          <w:lang w:val="en-US" w:eastAsia="zh-CN"/>
        </w:rPr>
        <w:t>在</w:t>
      </w:r>
      <w:r>
        <w:t>交友推荐列表</w:t>
      </w:r>
      <w:r>
        <w:rPr>
          <w:rFonts w:hint="eastAsia"/>
          <w:lang w:eastAsia="zh-CN"/>
        </w:rPr>
        <w:t>，</w:t>
      </w:r>
      <w:r>
        <w:t>系统根据学校、专业、兴趣、共同好友和活跃度等维度计算匹配度，并以推荐卡片形式展示用户头像、昵称、学校、年级和匹配度。点击用户卡片可进入资料详情页，点击卡片上的“</w:t>
      </w:r>
      <w:r>
        <w:rPr>
          <w:rFonts w:hint="eastAsia"/>
          <w:lang w:val="en-US" w:eastAsia="zh-CN"/>
        </w:rPr>
        <w:t>爱心</w:t>
      </w:r>
      <w:r>
        <w:t>”按钮可发送好友申请。页面提供全局搜索和高级筛选入口，用户可进一步缩小推荐范围。</w:t>
      </w:r>
      <w:r>
        <w:rPr>
          <w:rFonts w:hint="eastAsia"/>
          <w:lang w:val="en-US" w:eastAsia="zh-CN"/>
        </w:rPr>
        <w:t>页面还包含“社交图谱”和“附近雷达”两个按钮，“社交图谱”能够展示用户自己的，基于同校、同专业、同乡兴趣匹配的好友列表，“附近雷达”能够扫描已完成认证的校友。</w:t>
      </w:r>
      <w:r>
        <w:t>交友推荐列表页面如图10所示。</w:t>
      </w:r>
    </w:p>
    <w:p w14:paraId="481A7602">
      <w:pPr>
        <w:keepNext/>
        <w:ind w:firstLine="480"/>
        <w:jc w:val="center"/>
        <w:rPr>
          <w:rFonts w:hint="eastAsia"/>
        </w:rPr>
      </w:pPr>
      <w:r>
        <w:drawing>
          <wp:inline distT="0" distB="0" distL="0" distR="0">
            <wp:extent cx="3059430" cy="5164455"/>
            <wp:effectExtent l="0" t="0" r="127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516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DFF79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0</w:t>
      </w:r>
      <w:r>
        <w:rPr>
          <w:b/>
          <w:color w:val="595959"/>
          <w:sz w:val="18"/>
        </w:rPr>
        <w:t xml:space="preserve"> 交友推荐列表</w:t>
      </w:r>
    </w:p>
    <w:p w14:paraId="11AE8925">
      <w:pPr>
        <w:keepNext/>
        <w:spacing w:line="440" w:lineRule="exact"/>
        <w:ind w:firstLine="480"/>
        <w:rPr>
          <w:rFonts w:hint="eastAsia"/>
        </w:rPr>
      </w:pPr>
      <w:r>
        <w:t>多维筛选面板用于按学校、性别、专业、学历、年级和所在城市等条件筛选用户。学校支持输入和热门院校标签快捷选择，学历可选择本科、硕士或博士，城市地区通过标签选择。用户完成条件设置后点击“查看结果”，系统会按照所选条件重新加载好友推荐列表。若未设置任何条件，系统默认按综合推荐规则返回结果。多维筛选面板如图11所示。</w:t>
      </w:r>
    </w:p>
    <w:tbl>
      <w:tblPr>
        <w:tblStyle w:val="11"/>
        <w:tblW w:w="7792" w:type="dxa"/>
        <w:jc w:val="center"/>
        <w:tblCellSpacing w:w="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6"/>
        <w:gridCol w:w="3896"/>
      </w:tblGrid>
      <w:tr w14:paraId="53A32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40" w:type="dxa"/>
          <w:jc w:val="center"/>
        </w:trPr>
        <w:tc>
          <w:tcPr>
            <w:tcW w:w="3816" w:type="dxa"/>
          </w:tcPr>
          <w:p w14:paraId="6FD00F27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3160" cy="2318385"/>
                  <wp:effectExtent l="0" t="0" r="0" b="0"/>
                  <wp:docPr id="5219" name="Picture 5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9" name="Picture 521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2318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</w:tcPr>
          <w:p w14:paraId="1BE24CA6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3160" cy="4499610"/>
                  <wp:effectExtent l="0" t="0" r="2540" b="8890"/>
                  <wp:docPr id="5220" name="Picture 5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0" name="Picture 522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49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E54D04">
      <w:pPr>
        <w:spacing w:before="60" w:after="200" w:line="240" w:lineRule="auto"/>
        <w:ind w:firstLine="361"/>
        <w:jc w:val="center"/>
        <w:rPr>
          <w:rFonts w:hint="eastAsia"/>
          <w:b/>
          <w:color w:val="595959"/>
          <w:sz w:val="18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1</w:t>
      </w:r>
      <w:r>
        <w:rPr>
          <w:b/>
          <w:color w:val="595959"/>
          <w:sz w:val="18"/>
        </w:rPr>
        <w:t xml:space="preserve"> 多维筛选面板</w:t>
      </w:r>
    </w:p>
    <w:p w14:paraId="77D93FE6">
      <w:pPr>
        <w:keepNext/>
        <w:spacing w:line="440" w:lineRule="exact"/>
        <w:ind w:firstLine="480"/>
        <w:rPr>
          <w:rFonts w:hint="eastAsia"/>
        </w:rPr>
      </w:pPr>
      <w:r>
        <w:t>用户资料详情页展示头像、昵称、学校、年级、专业、所在地、个人简介和兴趣标签，并通过四宫格信息区展示专业、所在地、年级和共同好友。已完成实名认证的用户可点击“加好友”按钮向对方发送好友申请，申请提交后等待对方接受；对方接受后，双方进入好友列表并可发起聊天。页面还展示共同好友列表，点击共同好友头像可进入对应用户资料页。用户资料详情页面如图12所示。</w:t>
      </w:r>
    </w:p>
    <w:p w14:paraId="6B6514F7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drawing>
          <wp:inline distT="0" distB="0" distL="0" distR="0">
            <wp:extent cx="2606675" cy="6711315"/>
            <wp:effectExtent l="0" t="0" r="9525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06675" cy="671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D28E4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2</w:t>
      </w:r>
      <w:r>
        <w:rPr>
          <w:b/>
          <w:color w:val="595959"/>
          <w:sz w:val="18"/>
        </w:rPr>
        <w:t xml:space="preserve"> 用户资料详情页</w:t>
      </w:r>
    </w:p>
    <w:p w14:paraId="3A2695BC">
      <w:pPr>
        <w:keepNext/>
        <w:spacing w:line="440" w:lineRule="exact"/>
        <w:ind w:firstLine="480"/>
        <w:rPr>
          <w:rFonts w:hint="eastAsia"/>
        </w:rPr>
      </w:pPr>
      <w:r>
        <w:t>校园雷达用于实时扫描当前用户附近已完成认证的校友，默认最大扫描半径为</w:t>
      </w:r>
      <w:r>
        <w:rPr>
          <w:rFonts w:hint="eastAsia"/>
          <w:lang w:val="en-US" w:eastAsia="zh-CN"/>
        </w:rPr>
        <w:t>5</w:t>
      </w:r>
      <w:r>
        <w:t>00米。页面采用深色雷达视图展示附近校友点位，顶部显示附近校友数量和活动数量，下方列表展示用户距离、在线时间以及“</w:t>
      </w:r>
      <w:r>
        <w:rPr>
          <w:rFonts w:hint="eastAsia"/>
          <w:lang w:val="en-US" w:eastAsia="zh-CN"/>
        </w:rPr>
        <w:t>爱心</w:t>
      </w:r>
      <w:r>
        <w:t>”“</w:t>
      </w:r>
      <w:r>
        <w:rPr>
          <w:rFonts w:hint="eastAsia"/>
          <w:lang w:val="en-US" w:eastAsia="zh-CN"/>
        </w:rPr>
        <w:t>打招呼</w:t>
      </w:r>
      <w:bookmarkStart w:id="53" w:name="_GoBack"/>
      <w:bookmarkEnd w:id="53"/>
      <w:r>
        <w:t>”操作。点击雷达点位或列表用户，可进入对应用户资料页。雷达扫描仅对完成实名认证且允许位置共享的用户生效。校园雷达页面如图13所示。</w:t>
      </w:r>
    </w:p>
    <w:p w14:paraId="0C149B1D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drawing>
          <wp:inline distT="0" distB="0" distL="0" distR="0">
            <wp:extent cx="3059430" cy="6464300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76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17EB2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3</w:t>
      </w:r>
      <w:r>
        <w:rPr>
          <w:b/>
          <w:color w:val="595959"/>
          <w:sz w:val="18"/>
        </w:rPr>
        <w:t xml:space="preserve"> 校园雷达</w:t>
      </w:r>
    </w:p>
    <w:p w14:paraId="1E7636C7">
      <w:pPr>
        <w:pStyle w:val="3"/>
        <w:keepNext/>
        <w:ind w:firstLine="480"/>
        <w:rPr>
          <w:rFonts w:hint="eastAsia"/>
        </w:rPr>
      </w:pPr>
      <w:bookmarkStart w:id="18" w:name="_Toc238414465"/>
      <w:bookmarkStart w:id="19" w:name="_Toc30910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四</w:t>
      </w:r>
      <w:r>
        <w:rPr>
          <w:rFonts w:hint="eastAsia" w:ascii="微软雅黑" w:hAnsi="微软雅黑" w:eastAsia="微软雅黑"/>
          <w:lang w:eastAsia="zh-CN"/>
        </w:rPr>
        <w:t>）</w:t>
      </w:r>
      <w:r>
        <w:rPr>
          <w:rFonts w:ascii="微软雅黑" w:hAnsi="微软雅黑" w:eastAsia="微软雅黑"/>
        </w:rPr>
        <w:t>校园动态</w:t>
      </w:r>
      <w:bookmarkEnd w:id="18"/>
      <w:bookmarkEnd w:id="19"/>
    </w:p>
    <w:p w14:paraId="3820280A">
      <w:pPr>
        <w:keepNext/>
        <w:spacing w:line="440" w:lineRule="exact"/>
        <w:ind w:firstLine="480"/>
        <w:rPr>
          <w:rFonts w:hint="eastAsia"/>
        </w:rPr>
      </w:pPr>
      <w:r>
        <w:t>校园动态首页提供热度排序和最新排序两种方式，用户可按</w:t>
      </w:r>
      <w:r>
        <w:rPr>
          <w:rFonts w:hint="eastAsia"/>
          <w:lang w:val="en-US" w:eastAsia="zh-CN"/>
        </w:rPr>
        <w:t>全部、</w:t>
      </w:r>
      <w:r>
        <w:t>本校、好友切换可见范围，并按</w:t>
      </w:r>
      <w:r>
        <w:rPr>
          <w:rFonts w:hint="eastAsia"/>
          <w:lang w:val="en-US" w:eastAsia="zh-CN"/>
        </w:rPr>
        <w:t>全部、好友动态、二手市场、社团活动、兼职报名、</w:t>
      </w:r>
      <w:r>
        <w:t>失物招领、学习交流等分类浏览动态。动态卡片展示发布者信息、标题、图文内容和互动数据，用户可对动态点赞、评论、收藏或分享。点击动态卡片进入动态详情页，点击页面右上角“发布”进入发布动态页。页面还提供好友动态、校园动态等分类入口。校园动态首页如图14所示。</w:t>
      </w:r>
    </w:p>
    <w:tbl>
      <w:tblPr>
        <w:tblStyle w:val="11"/>
        <w:tblW w:w="7792" w:type="dxa"/>
        <w:jc w:val="center"/>
        <w:tblCellSpacing w:w="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6"/>
        <w:gridCol w:w="3896"/>
      </w:tblGrid>
      <w:tr w14:paraId="7E1CB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40" w:type="dxa"/>
          <w:jc w:val="center"/>
        </w:trPr>
        <w:tc>
          <w:tcPr>
            <w:tcW w:w="3816" w:type="dxa"/>
          </w:tcPr>
          <w:p w14:paraId="44ACE6DE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3160" cy="2886710"/>
                  <wp:effectExtent l="0" t="0" r="0" b="0"/>
                  <wp:docPr id="5225" name="Picture 5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5" name="Picture 522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2886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</w:tcPr>
          <w:p w14:paraId="3821A751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3160" cy="4554220"/>
                  <wp:effectExtent l="0" t="0" r="0" b="0"/>
                  <wp:docPr id="5226" name="Picture 5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6" name="Picture 522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554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E5B990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4</w:t>
      </w:r>
      <w:r>
        <w:rPr>
          <w:b/>
          <w:color w:val="595959"/>
          <w:sz w:val="18"/>
        </w:rPr>
        <w:t xml:space="preserve"> 校园动态首页</w:t>
      </w:r>
    </w:p>
    <w:p w14:paraId="610CA40D">
      <w:pPr>
        <w:keepNext/>
        <w:spacing w:line="440" w:lineRule="exact"/>
        <w:ind w:firstLine="480"/>
        <w:rPr>
          <w:rFonts w:hint="eastAsia"/>
        </w:rPr>
      </w:pPr>
      <w:r>
        <w:t>动态详情页展示发布者信息、标题、图文内容、时间地点和互动数据。用户可以点赞、评论、收藏和分享动态，也可以点击“联系”进入聊天界面与发布者沟通。评论区域支持输入并发布评论，新评论会实时展示。针对全屏图文或视频动态，页面提供右侧互动栏、话题标签和“送礼物”入口，用户可使用积分向发布者赠送礼物。动态详情页面如图15所示。</w:t>
      </w:r>
    </w:p>
    <w:tbl>
      <w:tblPr>
        <w:tblStyle w:val="11"/>
        <w:tblW w:w="7786" w:type="dxa"/>
        <w:jc w:val="center"/>
        <w:tblCellSpacing w:w="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93"/>
        <w:gridCol w:w="3893"/>
      </w:tblGrid>
      <w:tr w14:paraId="0F9BA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40" w:type="dxa"/>
          <w:jc w:val="center"/>
        </w:trPr>
        <w:tc>
          <w:tcPr>
            <w:tcW w:w="3813" w:type="dxa"/>
          </w:tcPr>
          <w:p w14:paraId="3CFE5F4A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1255" cy="4217035"/>
                  <wp:effectExtent l="0" t="0" r="0" b="0"/>
                  <wp:docPr id="5227" name="Picture 5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7" name="Picture 522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255" cy="4217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3" w:type="dxa"/>
          </w:tcPr>
          <w:p w14:paraId="059A6830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421255" cy="3692525"/>
                  <wp:effectExtent l="0" t="0" r="0" b="0"/>
                  <wp:docPr id="5228" name="Picture 5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8" name="Picture 522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255" cy="3692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344AF7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5</w:t>
      </w:r>
      <w:r>
        <w:rPr>
          <w:b/>
          <w:color w:val="595959"/>
          <w:sz w:val="18"/>
        </w:rPr>
        <w:t xml:space="preserve"> 动态详情页</w:t>
      </w:r>
    </w:p>
    <w:p w14:paraId="2E2CC6FD">
      <w:pPr>
        <w:keepNext/>
        <w:spacing w:line="440" w:lineRule="exact"/>
        <w:ind w:firstLine="480"/>
        <w:rPr>
          <w:rFonts w:hint="eastAsia"/>
        </w:rPr>
      </w:pPr>
      <w:r>
        <w:t>发布动态页面提供可见范围设置、内容分类选择、标题输入、正文编辑和媒体上传功能。用户可选择发布到好友动态或全校校园动态，从失物招领、二手市场、社团活动、学习交流等分类中选择对应业务分类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对标题和详细内容进行填写，</w:t>
      </w:r>
      <w:r>
        <w:t>媒体上传最多支持9张图片或视频，同时</w:t>
      </w:r>
      <w:r>
        <w:rPr>
          <w:rFonts w:hint="eastAsia"/>
          <w:lang w:val="en-US" w:eastAsia="zh-CN"/>
        </w:rPr>
        <w:t>还可以选择性的添加位置信息</w:t>
      </w:r>
      <w:r>
        <w:t>。填写完成后点击“发布”按钮，动态进入“我的动态”待审核状态。发布动态页面如图16所示。</w:t>
      </w:r>
    </w:p>
    <w:tbl>
      <w:tblPr>
        <w:tblStyle w:val="11"/>
        <w:tblW w:w="6796" w:type="dxa"/>
        <w:jc w:val="center"/>
        <w:tblCellSpacing w:w="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98"/>
        <w:gridCol w:w="3398"/>
      </w:tblGrid>
      <w:tr w14:paraId="36900D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40" w:type="dxa"/>
          <w:jc w:val="center"/>
        </w:trPr>
        <w:tc>
          <w:tcPr>
            <w:tcW w:w="3318" w:type="dxa"/>
          </w:tcPr>
          <w:p w14:paraId="06DAA8E9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106930" cy="4250055"/>
                  <wp:effectExtent l="0" t="0" r="0" b="0"/>
                  <wp:docPr id="5229" name="Picture 5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9" name="Picture 522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4250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8" w:type="dxa"/>
          </w:tcPr>
          <w:p w14:paraId="0D8EB3B0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drawing>
                <wp:inline distT="0" distB="0" distL="0" distR="0">
                  <wp:extent cx="2106930" cy="3314700"/>
                  <wp:effectExtent l="0" t="0" r="0" b="0"/>
                  <wp:docPr id="5230" name="Picture 5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0" name="Picture 523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3314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63BC6C">
      <w:pPr>
        <w:spacing w:before="60" w:after="200" w:line="240" w:lineRule="auto"/>
        <w:ind w:firstLine="361"/>
        <w:jc w:val="center"/>
        <w:rPr>
          <w:rFonts w:hint="eastAsia"/>
          <w:b/>
          <w:color w:val="595959"/>
          <w:sz w:val="18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6</w:t>
      </w:r>
      <w:r>
        <w:rPr>
          <w:b/>
          <w:color w:val="595959"/>
          <w:sz w:val="18"/>
        </w:rPr>
        <w:t xml:space="preserve"> 发布动态页</w:t>
      </w:r>
    </w:p>
    <w:p w14:paraId="404066E8">
      <w:pPr>
        <w:pStyle w:val="3"/>
        <w:keepNext/>
        <w:ind w:left="0" w:leftChars="0" w:firstLine="480" w:firstLineChars="200"/>
        <w:rPr>
          <w:rFonts w:hint="eastAsia"/>
        </w:rPr>
      </w:pPr>
      <w:bookmarkStart w:id="20" w:name="_Toc238414466"/>
      <w:bookmarkStart w:id="21" w:name="_Toc28711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五</w:t>
      </w:r>
      <w:r>
        <w:rPr>
          <w:rFonts w:hint="eastAsia" w:ascii="微软雅黑" w:hAnsi="微软雅黑" w:eastAsia="微软雅黑"/>
          <w:lang w:eastAsia="zh-CN"/>
        </w:rPr>
        <w:t>）</w:t>
      </w:r>
      <w:r>
        <w:rPr>
          <w:rFonts w:ascii="微软雅黑" w:hAnsi="微软雅黑" w:eastAsia="微软雅黑"/>
        </w:rPr>
        <w:t>消息与聊天</w:t>
      </w:r>
      <w:bookmarkEnd w:id="20"/>
      <w:bookmarkEnd w:id="21"/>
    </w:p>
    <w:p w14:paraId="01B8ACCC">
      <w:pPr>
        <w:keepNext/>
        <w:spacing w:line="440" w:lineRule="exact"/>
        <w:ind w:firstLine="480"/>
        <w:rPr>
          <w:rFonts w:hint="eastAsia"/>
        </w:rPr>
      </w:pPr>
      <w:r>
        <w:t>消息列表按全部、好友、群聊、组局、校园圈和未读分类展示会话。每个会话条目显示对方头像、昵称、最新消息内容、发送时间和未读角标。系统通知卡片用于展示组局提醒、评论回复、活动取消等通知，点击通知可跳转到对应活动或动态详情。页面提供搜索框和新建聊天入口，用户可搜索会话或发起新的聊天。消息列表页面如图17所示。</w:t>
      </w:r>
    </w:p>
    <w:p w14:paraId="24C9D1C6">
      <w:pPr>
        <w:keepNext/>
        <w:ind w:firstLine="480"/>
        <w:jc w:val="center"/>
        <w:rPr>
          <w:rFonts w:hint="eastAsia"/>
        </w:rPr>
      </w:pPr>
      <w:r>
        <w:drawing>
          <wp:inline distT="0" distB="0" distL="0" distR="0">
            <wp:extent cx="3059430" cy="50520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505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14D3B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7</w:t>
      </w:r>
      <w:r>
        <w:rPr>
          <w:b/>
          <w:color w:val="595959"/>
          <w:sz w:val="18"/>
        </w:rPr>
        <w:t xml:space="preserve"> 消息列表页</w:t>
      </w:r>
    </w:p>
    <w:p w14:paraId="147CB909">
      <w:pPr>
        <w:keepNext/>
        <w:spacing w:line="440" w:lineRule="exact"/>
        <w:ind w:firstLine="480"/>
        <w:rPr>
          <w:rFonts w:hint="eastAsia"/>
        </w:rPr>
      </w:pPr>
      <w:r>
        <w:t>聊天界面顶部显示对方头像、昵称和在线状态，中部展示消息气泡，我方消息与对方消息采用不同颜色区分，并标注送达状态。底部输入框用于发送文字消息，用户输入内容后点击发送即可完成发送。点击顶部更多按钮可打开聊天设置，进行消息免打扰、清空聊天记录等设置。聊天界面如图18所示。</w:t>
      </w:r>
    </w:p>
    <w:p w14:paraId="0FD357A1">
      <w:pPr>
        <w:keepNext/>
        <w:ind w:firstLine="480"/>
        <w:jc w:val="center"/>
        <w:rPr>
          <w:rFonts w:hint="eastAsia"/>
        </w:rPr>
      </w:pPr>
      <w:r>
        <w:drawing>
          <wp:inline distT="0" distB="0" distL="0" distR="0">
            <wp:extent cx="3059430" cy="510476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510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5684C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图1</w:t>
      </w:r>
      <w:r>
        <w:rPr>
          <w:rFonts w:hint="eastAsia"/>
          <w:b/>
          <w:color w:val="595959"/>
          <w:sz w:val="18"/>
        </w:rPr>
        <w:t>8</w:t>
      </w:r>
      <w:r>
        <w:rPr>
          <w:b/>
          <w:color w:val="595959"/>
          <w:sz w:val="18"/>
        </w:rPr>
        <w:t xml:space="preserve"> 聊天界面</w:t>
      </w:r>
    </w:p>
    <w:p w14:paraId="4B0EF6E9">
      <w:pPr>
        <w:pStyle w:val="3"/>
        <w:keepNext/>
        <w:ind w:left="0" w:leftChars="0" w:firstLine="480" w:firstLineChars="200"/>
        <w:rPr>
          <w:rFonts w:hint="eastAsia"/>
        </w:rPr>
      </w:pPr>
      <w:bookmarkStart w:id="22" w:name="_Toc238414467"/>
      <w:bookmarkStart w:id="23" w:name="_Toc22862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六）</w:t>
      </w:r>
      <w:r>
        <w:rPr>
          <w:rFonts w:ascii="微软雅黑" w:hAnsi="微软雅黑" w:eastAsia="微软雅黑"/>
        </w:rPr>
        <w:t>我的与实名认证</w:t>
      </w:r>
      <w:bookmarkEnd w:id="22"/>
      <w:bookmarkEnd w:id="23"/>
    </w:p>
    <w:p w14:paraId="1823378B">
      <w:pPr>
        <w:pStyle w:val="9"/>
        <w:keepNext w:val="0"/>
        <w:keepLines w:val="0"/>
        <w:widowControl/>
        <w:suppressLineNumbers w:val="0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  <w:t>个人中心页面展示头像、昵称、年级信息，显示未设置学校与专业，提供编辑资料、个人二维码入口；设有学信网认证提示栏，未完成认证时展示待认证状态，提示完成认证可解锁附近、活动、发布等功能。页面功能入口包含：我的好友、好友申请、我的活动、我的动态、认证地图、发布公告、设置。用户点击编辑资料，可修改头像、昵称、学校、专业、年级、个人简介、兴趣标签；点击二维码查看个人名片二维码；通过我的好友、好友申请管理好友关系；通过我的活动、我的动态、发布公告管理个人发布的相关内容。个人中心主页如图19所示。</w:t>
      </w:r>
    </w:p>
    <w:p w14:paraId="1A167C61">
      <w:pPr>
        <w:keepNext/>
        <w:ind w:firstLine="480"/>
        <w:jc w:val="center"/>
        <w:rPr>
          <w:rFonts w:hint="eastAsia"/>
        </w:rPr>
      </w:pPr>
      <w:r>
        <w:drawing>
          <wp:inline distT="0" distB="0" distL="0" distR="0">
            <wp:extent cx="3449320" cy="5682615"/>
            <wp:effectExtent l="0" t="0" r="508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568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E6782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 xml:space="preserve">19 </w:t>
      </w:r>
      <w:r>
        <w:rPr>
          <w:b/>
          <w:color w:val="595959"/>
          <w:sz w:val="18"/>
        </w:rPr>
        <w:t>个人中心主页</w:t>
      </w:r>
    </w:p>
    <w:p w14:paraId="1F2DE59A">
      <w:pPr>
        <w:keepNext/>
        <w:spacing w:line="440" w:lineRule="exact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未完成学信网实名认证的用户，在使用交友、活动报名、动态发布、附近雷达等</w:t>
      </w:r>
      <w:r>
        <w:rPr>
          <w:rFonts w:hint="eastAsia" w:cs="宋体"/>
          <w:sz w:val="24"/>
          <w:szCs w:val="24"/>
          <w:lang w:val="en-US" w:eastAsia="zh-CN"/>
        </w:rPr>
        <w:t>软件</w:t>
      </w:r>
      <w:r>
        <w:rPr>
          <w:rFonts w:ascii="宋体" w:hAnsi="宋体" w:eastAsia="宋体" w:cs="宋体"/>
          <w:sz w:val="24"/>
          <w:szCs w:val="24"/>
        </w:rPr>
        <w:t>功能的过程中，系统会自动弹出功能受限提示弹窗。弹窗会明确告知用户当前操作受限是由于未完成学信网实名认证，</w:t>
      </w:r>
      <w:r>
        <w:rPr>
          <w:rFonts w:hint="eastAsia" w:cs="宋体"/>
          <w:sz w:val="24"/>
          <w:szCs w:val="24"/>
          <w:lang w:val="en-US" w:eastAsia="zh-CN"/>
        </w:rPr>
        <w:t>提示</w:t>
      </w:r>
      <w:r>
        <w:rPr>
          <w:rFonts w:ascii="宋体" w:hAnsi="宋体" w:eastAsia="宋体" w:cs="宋体"/>
          <w:sz w:val="24"/>
          <w:szCs w:val="24"/>
        </w:rPr>
        <w:t>用户</w:t>
      </w:r>
      <w:r>
        <w:rPr>
          <w:rFonts w:hint="eastAsia" w:cs="宋体"/>
          <w:sz w:val="24"/>
          <w:szCs w:val="24"/>
          <w:lang w:val="en-US" w:eastAsia="zh-CN"/>
        </w:rPr>
        <w:t>需要上传</w:t>
      </w:r>
      <w:r>
        <w:rPr>
          <w:rFonts w:ascii="宋体" w:hAnsi="宋体" w:eastAsia="宋体" w:cs="宋体"/>
          <w:sz w:val="24"/>
          <w:szCs w:val="24"/>
        </w:rPr>
        <w:t>学信网</w:t>
      </w:r>
      <w:r>
        <w:rPr>
          <w:rFonts w:hint="eastAsia" w:cs="宋体"/>
          <w:sz w:val="24"/>
          <w:szCs w:val="24"/>
          <w:lang w:val="en-US" w:eastAsia="zh-CN"/>
        </w:rPr>
        <w:t>信息</w:t>
      </w:r>
      <w:r>
        <w:rPr>
          <w:rFonts w:ascii="宋体" w:hAnsi="宋体" w:eastAsia="宋体" w:cs="宋体"/>
          <w:sz w:val="24"/>
          <w:szCs w:val="24"/>
        </w:rPr>
        <w:t>认证。完整的学信网认证分为基础信息确认、上传学信网报告、OCR识别结果确认三个流程步骤，该页面提供文件上传区域，用户可点击上传学信网报告材料，文件支持JPG、PNG、PDF三种格式，要求单文件大小最大不超过10MB，上传成功后可查看已上传文件，也支持点击更换文件重新选择材料。</w:t>
      </w:r>
      <w:r>
        <w:t>学信网认证上传报告页面如图20所示。</w:t>
      </w:r>
    </w:p>
    <w:p w14:paraId="17135CBF">
      <w:pPr>
        <w:spacing w:before="60" w:after="200" w:line="240" w:lineRule="auto"/>
        <w:ind w:left="0" w:leftChars="0" w:firstLine="0" w:firstLineChars="0"/>
        <w:jc w:val="both"/>
        <w:rPr>
          <w:b/>
          <w:color w:val="595959"/>
          <w:sz w:val="18"/>
        </w:rPr>
      </w:pPr>
    </w:p>
    <w:p w14:paraId="6BEFC0B1">
      <w:pPr>
        <w:keepNext/>
        <w:ind w:firstLine="480"/>
        <w:jc w:val="center"/>
        <w:rPr>
          <w:rFonts w:hint="eastAsia"/>
        </w:rPr>
      </w:pPr>
      <w:r>
        <w:drawing>
          <wp:inline distT="0" distB="0" distL="114300" distR="114300">
            <wp:extent cx="3597910" cy="5976620"/>
            <wp:effectExtent l="0" t="0" r="8890" b="5080"/>
            <wp:docPr id="51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" name="图片 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5976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C04261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rPr>
          <w:b/>
          <w:color w:val="595959"/>
          <w:sz w:val="18"/>
        </w:rPr>
        <w:t>图2</w:t>
      </w:r>
      <w:r>
        <w:rPr>
          <w:rFonts w:hint="eastAsia"/>
          <w:b/>
          <w:color w:val="595959"/>
          <w:sz w:val="18"/>
        </w:rPr>
        <w:t>0</w:t>
      </w:r>
      <w:r>
        <w:rPr>
          <w:b/>
          <w:color w:val="595959"/>
          <w:sz w:val="18"/>
        </w:rPr>
        <w:t xml:space="preserve"> 学信网认证上传报告页</w:t>
      </w:r>
    </w:p>
    <w:p w14:paraId="27FCEA05">
      <w:pPr>
        <w:keepNext/>
        <w:spacing w:line="440" w:lineRule="exact"/>
        <w:ind w:firstLine="480"/>
        <w:rPr>
          <w:rFonts w:hint="eastAsia"/>
        </w:rPr>
      </w:pPr>
      <w:r>
        <w:t>用户上传好学信网报告文件后，</w:t>
      </w:r>
      <w:r>
        <w:rPr>
          <w:rFonts w:hint="eastAsia"/>
          <w:lang w:val="en-US" w:eastAsia="zh-CN"/>
        </w:rPr>
        <w:t>软件</w:t>
      </w:r>
      <w:r>
        <w:t>会调用OCR识别能力，自动解析报告内的学籍相关信息，提取出姓名、学校、专业、学历类型、入学年份等关键学籍数据，展示在识别结果页面。页面会展示识别成功状态标识以及各项识别出的学籍内容，用户需要核对OCR识别出来的全部信息是否与自身实际学籍情况一致，确认无误后即可点击下一步提交认证申请进入审核环节。</w:t>
      </w:r>
      <w:r>
        <w:rPr>
          <w:rFonts w:hint="eastAsia"/>
          <w:lang w:val="en-US" w:eastAsia="zh-CN"/>
        </w:rPr>
        <w:t>软件</w:t>
      </w:r>
      <w:r>
        <w:t>审核通过后，用户的学信网实名认证正式完成，账号将解锁交友、活动报名、动态发布、附近雷达等功能的使用权限。学信网认证识别结果如图21所示。</w:t>
      </w:r>
    </w:p>
    <w:p w14:paraId="12BE4D5D">
      <w:pPr>
        <w:spacing w:before="60" w:after="200" w:line="240" w:lineRule="auto"/>
        <w:ind w:firstLine="361"/>
        <w:jc w:val="center"/>
        <w:rPr>
          <w:b/>
          <w:color w:val="595959"/>
          <w:sz w:val="18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907665" cy="7484110"/>
            <wp:effectExtent l="0" t="0" r="635" b="8890"/>
            <wp:docPr id="31" name="图片 31" descr="76dc568d97a77f2263447d5fabd98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76dc568d97a77f2263447d5fabd98eb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07665" cy="748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99694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图2</w:t>
      </w:r>
      <w:r>
        <w:rPr>
          <w:rFonts w:hint="eastAsia"/>
          <w:b/>
          <w:color w:val="595959"/>
          <w:sz w:val="18"/>
        </w:rPr>
        <w:t>1</w:t>
      </w:r>
      <w:r>
        <w:rPr>
          <w:b/>
          <w:color w:val="595959"/>
          <w:sz w:val="18"/>
        </w:rPr>
        <w:t xml:space="preserve"> 学信网认证</w:t>
      </w:r>
      <w:r>
        <w:rPr>
          <w:rFonts w:hint="eastAsia"/>
          <w:b/>
          <w:color w:val="595959"/>
          <w:sz w:val="18"/>
        </w:rPr>
        <w:t>识别结果页</w:t>
      </w:r>
    </w:p>
    <w:p w14:paraId="0272726D">
      <w:pPr>
        <w:pStyle w:val="2"/>
        <w:keepNext/>
        <w:rPr>
          <w:rFonts w:hint="eastAsia"/>
        </w:rPr>
      </w:pPr>
      <w:bookmarkStart w:id="24" w:name="_Toc12902"/>
      <w:bookmarkStart w:id="25" w:name="_Toc238414468"/>
      <w:r>
        <w:rPr>
          <w:rFonts w:hint="eastAsia" w:ascii="微软雅黑" w:hAnsi="微软雅黑" w:eastAsia="微软雅黑"/>
          <w:lang w:val="en-US" w:eastAsia="zh-CN"/>
        </w:rPr>
        <w:t>六．</w:t>
      </w:r>
      <w:r>
        <w:rPr>
          <w:rFonts w:ascii="微软雅黑" w:hAnsi="微软雅黑" w:eastAsia="微软雅黑"/>
        </w:rPr>
        <w:t>软件设计理论</w:t>
      </w:r>
      <w:bookmarkEnd w:id="24"/>
      <w:bookmarkEnd w:id="25"/>
    </w:p>
    <w:p w14:paraId="7B9C7E16">
      <w:pPr>
        <w:pStyle w:val="3"/>
        <w:keepNext/>
        <w:ind w:left="0" w:leftChars="0" w:firstLine="480" w:firstLineChars="200"/>
        <w:rPr>
          <w:rFonts w:hint="eastAsia" w:ascii="微软雅黑" w:hAnsi="微软雅黑" w:eastAsia="微软雅黑"/>
          <w:lang w:eastAsia="zh-CN"/>
        </w:rPr>
      </w:pPr>
      <w:bookmarkStart w:id="26" w:name="_Toc8549"/>
      <w:bookmarkStart w:id="27" w:name="_Toc238414469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一</w:t>
      </w:r>
      <w:r>
        <w:rPr>
          <w:rFonts w:hint="eastAsia" w:ascii="微软雅黑" w:hAnsi="微软雅黑" w:eastAsia="微软雅黑"/>
          <w:lang w:eastAsia="zh-CN"/>
        </w:rPr>
        <w:t>）无状态身份认证安全设计理论</w:t>
      </w:r>
      <w:bookmarkEnd w:id="26"/>
      <w:bookmarkEnd w:id="27"/>
    </w:p>
    <w:p w14:paraId="3D9DF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textAlignment w:val="auto"/>
        <w:rPr>
          <w:rFonts w:hint="eastAsia"/>
          <w:lang w:val="en-US" w:eastAsia="zh-CN"/>
        </w:rPr>
      </w:pPr>
      <w:bookmarkStart w:id="28" w:name="_Toc238414470"/>
      <w:r>
        <w:rPr>
          <w:lang w:val="en-US" w:eastAsia="zh-CN"/>
        </w:rPr>
        <w:t>系统采用基于JWT（JSON</w:t>
      </w:r>
      <w:r>
        <w:rPr>
          <w:rFonts w:hint="eastAsia"/>
          <w:lang w:val="en-US" w:eastAsia="zh-CN"/>
        </w:rPr>
        <w:t xml:space="preserve"> </w:t>
      </w:r>
      <w:r>
        <w:rPr>
          <w:lang w:val="en-US" w:eastAsia="zh-CN"/>
        </w:rPr>
        <w:t>Web Token）的无状态认证机制。用户登录成功后，服务端使用HS256（HMAC-SHA256）算法对用户标识与过期时间等信息进行签名，生成访问令牌返回客户端；客户端后续请求在access_token请求头中携带该令牌，服务端通过过滤器对令牌进行解析与签名校验，校验通过后将用户身份信息写入上下文，供各业务接口使用。令牌有效期内无需服务端保存会话状态，避免了传统Session方案在分布式环境下的状态共享问题</w:t>
      </w:r>
      <w:r>
        <w:rPr>
          <w:rFonts w:hint="default"/>
          <w:vertAlign w:val="superscript"/>
          <w:lang w:val="en-US" w:eastAsia="zh-CN"/>
        </w:rPr>
        <w:fldChar w:fldCharType="begin"/>
      </w:r>
      <w:r>
        <w:instrText xml:space="preserve"> REF _Ref21405 \r \h  \* MERGEFORMAT</w:instrText>
      </w:r>
      <w:r>
        <w:rPr>
          <w:rFonts w:hint="default"/>
          <w:vertAlign w:val="superscript"/>
          <w:lang w:val="en-US" w:eastAsia="zh-CN"/>
        </w:rPr>
        <w:fldChar w:fldCharType="separate"/>
      </w:r>
      <w:r>
        <w:rPr>
          <w:rFonts w:hint="default"/>
          <w:vertAlign w:val="superscript"/>
          <w:lang w:val="en-US" w:eastAsia="zh-CN"/>
        </w:rPr>
        <w:t>[3]</w:t>
      </w:r>
      <w:r>
        <w:rPr>
          <w:rFonts w:hint="default"/>
          <w:vertAlign w:val="superscript"/>
          <w:lang w:val="en-US" w:eastAsia="zh-CN"/>
        </w:rPr>
        <w:fldChar w:fldCharType="end"/>
      </w:r>
      <w:r>
        <w:rPr>
          <w:lang w:val="en-US" w:eastAsia="zh-CN"/>
        </w:rPr>
        <w:t>。</w:t>
      </w:r>
      <w:bookmarkEnd w:id="28"/>
    </w:p>
    <w:p w14:paraId="713BD2B8">
      <w:pPr>
        <w:pStyle w:val="3"/>
        <w:keepNext/>
        <w:ind w:left="0" w:leftChars="0" w:firstLine="480" w:firstLineChars="200"/>
        <w:rPr>
          <w:rFonts w:hint="eastAsia" w:ascii="微软雅黑" w:hAnsi="微软雅黑" w:eastAsia="微软雅黑"/>
          <w:lang w:eastAsia="zh-CN"/>
        </w:rPr>
      </w:pPr>
      <w:bookmarkStart w:id="29" w:name="_Toc32192"/>
      <w:bookmarkStart w:id="30" w:name="_Toc238414471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二</w:t>
      </w:r>
      <w:r>
        <w:rPr>
          <w:rFonts w:hint="eastAsia" w:ascii="微软雅黑" w:hAnsi="微软雅黑" w:eastAsia="微软雅黑"/>
          <w:lang w:eastAsia="zh-CN"/>
        </w:rPr>
        <w:t>）基于策略模式的可扩展审核架构设计理论</w:t>
      </w:r>
      <w:bookmarkEnd w:id="29"/>
      <w:bookmarkEnd w:id="30"/>
    </w:p>
    <w:p w14:paraId="1F0FD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textAlignment w:val="auto"/>
        <w:rPr>
          <w:rFonts w:hint="eastAsia"/>
          <w:lang w:val="en-US" w:eastAsia="zh-CN"/>
        </w:rPr>
      </w:pPr>
      <w:bookmarkStart w:id="31" w:name="_Toc238414472"/>
      <w:r>
        <w:rPr>
          <w:lang w:val="en-US" w:eastAsia="zh-CN"/>
        </w:rPr>
        <w:t>系统对文本、图片、视频三类内容分别实现独立的审核策略，采用策略模式统一封装审核接口。文本审核基于敏感词库进行本地检测，图片与视频审核对接阿里云内容安全服务进行智能识别</w:t>
      </w:r>
      <w:r>
        <w:rPr>
          <w:rFonts w:hint="default"/>
          <w:vertAlign w:val="superscript"/>
          <w:lang w:val="en-US" w:eastAsia="zh-CN"/>
        </w:rPr>
        <w:fldChar w:fldCharType="begin"/>
      </w:r>
      <w:r>
        <w:instrText xml:space="preserve"> REF _Ref21522 \r \h  \* MERGEFORMAT</w:instrText>
      </w:r>
      <w:r>
        <w:rPr>
          <w:rFonts w:hint="default"/>
          <w:vertAlign w:val="superscript"/>
          <w:lang w:val="en-US" w:eastAsia="zh-CN"/>
        </w:rPr>
        <w:fldChar w:fldCharType="separate"/>
      </w:r>
      <w:r>
        <w:rPr>
          <w:rFonts w:hint="default"/>
          <w:vertAlign w:val="superscript"/>
          <w:lang w:val="en-US" w:eastAsia="zh-CN"/>
        </w:rPr>
        <w:t>[7]</w:t>
      </w:r>
      <w:r>
        <w:rPr>
          <w:rFonts w:hint="default"/>
          <w:vertAlign w:val="superscript"/>
          <w:lang w:val="en-US" w:eastAsia="zh-CN"/>
        </w:rPr>
        <w:fldChar w:fldCharType="end"/>
      </w:r>
      <w:r>
        <w:rPr>
          <w:lang w:val="en-US" w:eastAsia="zh-CN"/>
        </w:rPr>
        <w:t>。各策略返回统一的审核结果（是否通过、得分、违规原因），供发布流程统一调用，实现了审核逻辑的可扩展性与解耦。</w:t>
      </w:r>
      <w:bookmarkEnd w:id="31"/>
    </w:p>
    <w:p w14:paraId="3E078E09">
      <w:pPr>
        <w:pStyle w:val="3"/>
        <w:keepNext/>
        <w:ind w:left="0" w:leftChars="0" w:firstLine="480" w:firstLineChars="200"/>
        <w:rPr>
          <w:rFonts w:hint="eastAsia" w:ascii="微软雅黑" w:hAnsi="微软雅黑" w:eastAsia="微软雅黑"/>
          <w:lang w:eastAsia="zh-CN"/>
        </w:rPr>
      </w:pPr>
      <w:bookmarkStart w:id="32" w:name="_Toc25627"/>
      <w:bookmarkStart w:id="33" w:name="_Toc238414473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三</w:t>
      </w:r>
      <w:r>
        <w:rPr>
          <w:rFonts w:hint="eastAsia" w:ascii="微软雅黑" w:hAnsi="微软雅黑" w:eastAsia="微软雅黑"/>
          <w:lang w:eastAsia="zh-CN"/>
        </w:rPr>
        <w:t>）球面地理距离计算理论</w:t>
      </w:r>
      <w:bookmarkEnd w:id="32"/>
      <w:bookmarkEnd w:id="33"/>
    </w:p>
    <w:p w14:paraId="42E0C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textAlignment w:val="auto"/>
        <w:rPr>
          <w:rFonts w:hint="eastAsia"/>
          <w:lang w:val="en-US" w:eastAsia="zh-CN"/>
        </w:rPr>
      </w:pPr>
      <w:bookmarkStart w:id="34" w:name="_Toc238414474"/>
      <w:r>
        <w:rPr>
          <w:rFonts w:hint="eastAsia"/>
          <w:lang w:val="en-US" w:eastAsia="zh-CN"/>
        </w:rPr>
        <w:t>在"附近大学"功能中，系统采用Haversine公式计算用户当前位置与各大学坐标点之间的球面距离。该公式通过两点的经纬度差值与地球半径（取6371km），计算两点间的大圆距离</w:t>
      </w:r>
      <w:r>
        <w:rPr>
          <w:rFonts w:hint="eastAsia"/>
          <w:vertAlign w:val="superscript"/>
          <w:lang w:val="en-US" w:eastAsia="zh-CN"/>
        </w:rPr>
        <w:fldChar w:fldCharType="begin"/>
      </w:r>
      <w:r>
        <w:instrText xml:space="preserve"> REF _Ref21584 \r \h  \* MERGEFORMAT</w:instrText>
      </w:r>
      <w:r>
        <w:rPr>
          <w:rFonts w:hint="eastAsia"/>
          <w:vertAlign w:val="superscript"/>
          <w:lang w:val="en-US" w:eastAsia="zh-CN"/>
        </w:rPr>
        <w:fldChar w:fldCharType="separate"/>
      </w:r>
      <w:r>
        <w:rPr>
          <w:rFonts w:hint="eastAsia"/>
          <w:vertAlign w:val="superscript"/>
          <w:lang w:val="en-US" w:eastAsia="zh-CN"/>
        </w:rPr>
        <w:t>[4]</w:t>
      </w:r>
      <w:r>
        <w:rPr>
          <w:rFonts w:hint="eastAsia"/>
          <w:vertAlign w:val="superscript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，适用于近距离的距离测算场景。计算完成后按距离由近及远排序，返回带距离信息的大学列表。</w:t>
      </w:r>
      <w:bookmarkEnd w:id="34"/>
    </w:p>
    <w:p w14:paraId="44D225DF">
      <w:pPr>
        <w:pStyle w:val="3"/>
        <w:keepNext/>
        <w:ind w:left="0" w:leftChars="0" w:firstLine="480" w:firstLineChars="200"/>
        <w:rPr>
          <w:rFonts w:hint="eastAsia" w:ascii="微软雅黑" w:hAnsi="微软雅黑" w:eastAsia="微软雅黑"/>
          <w:lang w:eastAsia="zh-CN"/>
        </w:rPr>
      </w:pPr>
      <w:bookmarkStart w:id="35" w:name="_Toc238414475"/>
      <w:bookmarkStart w:id="36" w:name="_Toc6266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四</w:t>
      </w:r>
      <w:r>
        <w:rPr>
          <w:rFonts w:hint="eastAsia" w:ascii="微软雅黑" w:hAnsi="微软雅黑" w:eastAsia="微软雅黑"/>
          <w:lang w:eastAsia="zh-CN"/>
        </w:rPr>
        <w:t>）多维度加权相似度推荐理论</w:t>
      </w:r>
      <w:bookmarkEnd w:id="35"/>
      <w:bookmarkEnd w:id="36"/>
    </w:p>
    <w:p w14:paraId="4D03A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textAlignment w:val="auto"/>
        <w:rPr>
          <w:rFonts w:hint="eastAsia"/>
          <w:lang w:val="en-US" w:eastAsia="zh-CN"/>
        </w:rPr>
      </w:pPr>
      <w:bookmarkStart w:id="37" w:name="_Toc238414476"/>
      <w:r>
        <w:rPr>
          <w:rFonts w:hint="eastAsia"/>
          <w:lang w:val="en-US" w:eastAsia="zh-CN"/>
        </w:rPr>
        <w:t>系统基于用户的属性相似度计算匹配分数，实现好友的个性化推荐。算法综合考虑六个维度并分配权重：同校（30分）、同专业（20分）、同老家（25分）、年龄相仿（10分）、共同兴趣（每个5分，上限20分）、异性（5分）。各维度得分累加得到原始总分（满分110分），再按比例归一化至0–100分，作为候选用户与当前用户的匹配度，同时记录每个得分维度的具体理由用于向用户解释推荐依据</w:t>
      </w:r>
      <w:bookmarkEnd w:id="37"/>
      <w:r>
        <w:rPr>
          <w:rFonts w:hint="eastAsia"/>
          <w:lang w:val="en-US" w:eastAsia="zh-CN"/>
        </w:rPr>
        <w:t>。</w:t>
      </w:r>
    </w:p>
    <w:p w14:paraId="1F9E3DD0">
      <w:pPr>
        <w:pStyle w:val="3"/>
        <w:keepNext/>
        <w:ind w:left="0" w:leftChars="0" w:firstLine="480" w:firstLineChars="200"/>
        <w:rPr>
          <w:rFonts w:hint="eastAsia" w:ascii="微软雅黑" w:hAnsi="微软雅黑" w:eastAsia="微软雅黑"/>
          <w:lang w:eastAsia="zh-CN"/>
        </w:rPr>
      </w:pPr>
      <w:bookmarkStart w:id="38" w:name="_Toc238414477"/>
      <w:bookmarkStart w:id="39" w:name="_Toc30715"/>
      <w:r>
        <w:rPr>
          <w:rFonts w:hint="eastAsia" w:ascii="微软雅黑" w:hAnsi="微软雅黑" w:eastAsia="微软雅黑"/>
          <w:lang w:eastAsia="zh-CN"/>
        </w:rPr>
        <w:t>（</w:t>
      </w:r>
      <w:r>
        <w:rPr>
          <w:rFonts w:hint="eastAsia" w:ascii="微软雅黑" w:hAnsi="微软雅黑" w:eastAsia="微软雅黑"/>
          <w:lang w:val="en-US" w:eastAsia="zh-CN"/>
        </w:rPr>
        <w:t>五</w:t>
      </w:r>
      <w:r>
        <w:rPr>
          <w:rFonts w:hint="eastAsia" w:ascii="微软雅黑" w:hAnsi="微软雅黑" w:eastAsia="微软雅黑"/>
          <w:lang w:eastAsia="zh-CN"/>
        </w:rPr>
        <w:t>）整体软件通用设计原则</w:t>
      </w:r>
      <w:bookmarkEnd w:id="38"/>
      <w:bookmarkEnd w:id="39"/>
    </w:p>
    <w:p w14:paraId="295EB6C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12" w:lineRule="auto"/>
        <w:ind w:firstLine="480"/>
        <w:textAlignment w:val="auto"/>
        <w:rPr>
          <w:rFonts w:hint="eastAsia" w:ascii="微软雅黑" w:hAnsi="微软雅黑" w:eastAsia="微软雅黑"/>
          <w:lang w:eastAsia="zh-CN"/>
        </w:rPr>
      </w:pPr>
      <w:r>
        <w:t>整体代码采用模块化分层开发思路，划分不同业务模块，模块内部高度聚合、模块之间尽量降低耦合。业务逻辑、数据操作、第三方接口调用做分层隔离，方便后续迭代开发。客户端采用ReactNative跨端方案</w:t>
      </w:r>
      <w:r>
        <w:rPr>
          <w:rFonts w:hint="default"/>
          <w:vertAlign w:val="superscript"/>
          <w:lang w:val="en-US"/>
        </w:rPr>
        <w:fldChar w:fldCharType="begin"/>
      </w:r>
      <w:r>
        <w:instrText xml:space="preserve"> REF _Ref21881 \r \h  \* MERGEFORMAT</w:instrText>
      </w:r>
      <w:r>
        <w:rPr>
          <w:rFonts w:hint="default"/>
          <w:vertAlign w:val="superscript"/>
          <w:lang w:val="en-US"/>
        </w:rPr>
        <w:fldChar w:fldCharType="separate"/>
      </w:r>
      <w:r>
        <w:rPr>
          <w:rFonts w:hint="default"/>
          <w:vertAlign w:val="superscript"/>
          <w:lang w:val="en-US"/>
        </w:rPr>
        <w:t>[2]</w:t>
      </w:r>
      <w:r>
        <w:rPr>
          <w:rFonts w:hint="default"/>
          <w:vertAlign w:val="superscript"/>
          <w:lang w:val="en-US"/>
        </w:rPr>
        <w:fldChar w:fldCharType="end"/>
      </w:r>
      <w:r>
        <w:t>，服务端采用SpringBoot分层架构</w:t>
      </w:r>
      <w:r>
        <w:rPr>
          <w:rFonts w:hint="default"/>
          <w:vertAlign w:val="superscript"/>
          <w:lang w:val="en-US"/>
        </w:rPr>
        <w:fldChar w:fldCharType="begin"/>
      </w:r>
      <w:r>
        <w:instrText xml:space="preserve"> REF _Ref20957 \r \h  \* MERGEFORMAT</w:instrText>
      </w:r>
      <w:r>
        <w:rPr>
          <w:rFonts w:hint="default"/>
          <w:vertAlign w:val="superscript"/>
          <w:lang w:val="en-US"/>
        </w:rPr>
        <w:fldChar w:fldCharType="separate"/>
      </w:r>
      <w:r>
        <w:rPr>
          <w:rFonts w:hint="default"/>
          <w:vertAlign w:val="superscript"/>
          <w:lang w:val="en-US"/>
        </w:rPr>
        <w:t>[1]</w:t>
      </w:r>
      <w:r>
        <w:rPr>
          <w:rFonts w:hint="default"/>
          <w:vertAlign w:val="superscript"/>
          <w:lang w:val="en-US"/>
        </w:rPr>
        <w:fldChar w:fldCharType="end"/>
      </w:r>
      <w:r>
        <w:t>；二维码识别接入ZXing</w:t>
      </w:r>
      <w:r>
        <w:rPr>
          <w:rFonts w:hint="default"/>
          <w:vertAlign w:val="superscript"/>
          <w:lang w:val="en-US"/>
        </w:rPr>
        <w:fldChar w:fldCharType="begin"/>
      </w:r>
      <w:r>
        <w:instrText xml:space="preserve"> REF _Ref21663 \r \h  \* MERGEFORMAT</w:instrText>
      </w:r>
      <w:r>
        <w:rPr>
          <w:rFonts w:hint="default"/>
          <w:vertAlign w:val="superscript"/>
          <w:lang w:val="en-US"/>
        </w:rPr>
        <w:fldChar w:fldCharType="separate"/>
      </w:r>
      <w:r>
        <w:rPr>
          <w:rFonts w:hint="default"/>
          <w:vertAlign w:val="superscript"/>
          <w:lang w:val="en-US"/>
        </w:rPr>
        <w:t>[5]</w:t>
      </w:r>
      <w:r>
        <w:rPr>
          <w:rFonts w:hint="default"/>
          <w:vertAlign w:val="superscript"/>
          <w:lang w:val="en-US"/>
        </w:rPr>
        <w:fldChar w:fldCharType="end"/>
      </w:r>
      <w:r>
        <w:t>，网页与文本解析使用Jsoup</w:t>
      </w:r>
      <w:r>
        <w:rPr>
          <w:rFonts w:hint="default"/>
          <w:vertAlign w:val="superscript"/>
          <w:lang w:val="en-US"/>
        </w:rPr>
        <w:fldChar w:fldCharType="begin"/>
      </w:r>
      <w:r>
        <w:instrText xml:space="preserve"> REF _Ref21702 \r \h  \* MERGEFORMAT</w:instrText>
      </w:r>
      <w:r>
        <w:rPr>
          <w:rFonts w:hint="default"/>
          <w:vertAlign w:val="superscript"/>
          <w:lang w:val="en-US"/>
        </w:rPr>
        <w:fldChar w:fldCharType="separate"/>
      </w:r>
      <w:r>
        <w:rPr>
          <w:rFonts w:hint="default"/>
          <w:vertAlign w:val="superscript"/>
          <w:lang w:val="en-US"/>
        </w:rPr>
        <w:t>[6]</w:t>
      </w:r>
      <w:r>
        <w:rPr>
          <w:rFonts w:hint="default"/>
          <w:vertAlign w:val="superscript"/>
          <w:lang w:val="en-US"/>
        </w:rPr>
        <w:fldChar w:fldCharType="end"/>
      </w:r>
      <w:r>
        <w:t>，云存储、视频、推送、OCR与内容安全接入阿里云服务</w:t>
      </w:r>
      <w:r>
        <w:rPr>
          <w:rFonts w:hint="default"/>
          <w:vertAlign w:val="superscript"/>
          <w:lang w:val="en-US"/>
        </w:rPr>
        <w:fldChar w:fldCharType="begin"/>
      </w:r>
      <w:r>
        <w:instrText xml:space="preserve"> REF _Ref21522 \r \h  \* MERGEFORMAT</w:instrText>
      </w:r>
      <w:r>
        <w:rPr>
          <w:rFonts w:hint="default"/>
          <w:vertAlign w:val="superscript"/>
          <w:lang w:val="en-US"/>
        </w:rPr>
        <w:fldChar w:fldCharType="separate"/>
      </w:r>
      <w:r>
        <w:rPr>
          <w:rFonts w:hint="default"/>
          <w:vertAlign w:val="superscript"/>
          <w:lang w:val="en-US"/>
        </w:rPr>
        <w:t>[7]</w:t>
      </w:r>
      <w:r>
        <w:rPr>
          <w:rFonts w:hint="default"/>
          <w:vertAlign w:val="superscript"/>
          <w:lang w:val="en-US"/>
        </w:rPr>
        <w:fldChar w:fldCharType="end"/>
      </w:r>
      <w:r>
        <w:t>，即时通讯接入环信IM</w:t>
      </w:r>
      <w:r>
        <w:rPr>
          <w:rFonts w:hint="default"/>
          <w:vertAlign w:val="superscript"/>
          <w:lang w:val="en-US"/>
        </w:rPr>
        <w:fldChar w:fldCharType="begin"/>
      </w:r>
      <w:r>
        <w:instrText xml:space="preserve"> REF _Ref21806 \r \h  \* MERGEFORMAT</w:instrText>
      </w:r>
      <w:r>
        <w:rPr>
          <w:rFonts w:hint="default"/>
          <w:vertAlign w:val="superscript"/>
          <w:lang w:val="en-US"/>
        </w:rPr>
        <w:fldChar w:fldCharType="separate"/>
      </w:r>
      <w:r>
        <w:rPr>
          <w:rFonts w:hint="default"/>
          <w:vertAlign w:val="superscript"/>
          <w:lang w:val="en-US"/>
        </w:rPr>
        <w:t>[8]</w:t>
      </w:r>
      <w:r>
        <w:rPr>
          <w:rFonts w:hint="default"/>
          <w:vertAlign w:val="superscript"/>
          <w:lang w:val="en-US"/>
        </w:rPr>
        <w:fldChar w:fldCharType="end"/>
      </w:r>
      <w:r>
        <w:t>。开发过程中同时考虑权限管控与异常处理，遵循权限最小化思路，捕获各类业务异常，尽可能减少非法访问、异常操作带来的问题，保障系统运行稳定。</w:t>
      </w:r>
    </w:p>
    <w:p w14:paraId="3196AF89">
      <w:pPr>
        <w:pStyle w:val="3"/>
        <w:keepNext/>
        <w:ind w:left="0" w:leftChars="0" w:firstLine="480" w:firstLineChars="200"/>
        <w:rPr>
          <w:rFonts w:hint="eastAsia" w:ascii="微软雅黑" w:hAnsi="微软雅黑" w:eastAsia="微软雅黑"/>
          <w:lang w:val="en-US" w:eastAsia="zh-CN"/>
        </w:rPr>
      </w:pPr>
      <w:bookmarkStart w:id="40" w:name="_Toc2760"/>
      <w:r>
        <w:rPr>
          <w:rFonts w:hint="eastAsia" w:ascii="微软雅黑" w:hAnsi="微软雅黑" w:eastAsia="微软雅黑"/>
          <w:lang w:val="en-US" w:eastAsia="zh-CN"/>
        </w:rPr>
        <w:t>（六）参考文献</w:t>
      </w:r>
      <w:bookmarkEnd w:id="40"/>
    </w:p>
    <w:p w14:paraId="7CD8D9EE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bookmarkStart w:id="41" w:name="_Ref20957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SpringBoot官方文档：https://docs.spring.io/spring-boot/docs/2.7.18/reference/html/</w:t>
      </w:r>
      <w:bookmarkEnd w:id="41"/>
    </w:p>
    <w:p w14:paraId="262D8463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bookmarkStart w:id="42" w:name="_Ref21881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ReactNative官方文档：https://reactnative.dev/docs/0.85</w:t>
      </w:r>
      <w:bookmarkEnd w:id="42"/>
    </w:p>
    <w:p w14:paraId="3B3C866F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bookmarkStart w:id="43" w:name="_Ref21405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JWT标准RFC7519：https://datatracker.ietf.org/doc/html/rfc7519</w:t>
      </w:r>
      <w:bookmarkEnd w:id="43"/>
    </w:p>
    <w:p w14:paraId="1BFE1A35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bookmarkStart w:id="44" w:name="_Ref21584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Haversine公式原始文献：Sinnott,R.W.Virtues of the Haversine.Sky and Telescope,1984.</w:t>
      </w:r>
      <w:bookmarkEnd w:id="44"/>
    </w:p>
    <w:p w14:paraId="7E401A79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bookmarkStart w:id="45" w:name="_Ref21663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GoogleZXing开源库：https://github.com/zxing/zxing</w:t>
      </w:r>
      <w:bookmarkEnd w:id="45"/>
    </w:p>
    <w:p w14:paraId="7C448F23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bookmarkStart w:id="46" w:name="_Ref21702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Jsoup官方文档：https://jsoup.org/</w:t>
      </w:r>
      <w:bookmarkEnd w:id="46"/>
    </w:p>
    <w:p w14:paraId="6D34233B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bookmarkStart w:id="47" w:name="_Ref21522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阿里云各产品（OSS/VOD/推送/OCR/内容安全）开发者文档：https://help.aliyun.com/</w:t>
      </w:r>
      <w:bookmarkEnd w:id="47"/>
    </w:p>
    <w:p w14:paraId="04386F78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bookmarkStart w:id="48" w:name="_Ref21806"/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环信即时通讯IM文档：https://docs.easemob.com/</w:t>
      </w:r>
      <w:bookmarkEnd w:id="48"/>
    </w:p>
    <w:p w14:paraId="04190AC4">
      <w:pPr>
        <w:pStyle w:val="2"/>
        <w:keepNext/>
        <w:rPr>
          <w:rFonts w:hint="eastAsia"/>
        </w:rPr>
      </w:pPr>
      <w:bookmarkStart w:id="49" w:name="_Toc2274"/>
      <w:bookmarkStart w:id="50" w:name="_Toc238414478"/>
      <w:r>
        <w:rPr>
          <w:rFonts w:hint="eastAsia" w:ascii="微软雅黑" w:hAnsi="微软雅黑" w:eastAsia="微软雅黑"/>
          <w:lang w:val="en-US" w:eastAsia="zh-CN"/>
        </w:rPr>
        <w:t>七．</w:t>
      </w:r>
      <w:r>
        <w:rPr>
          <w:rFonts w:ascii="微软雅黑" w:hAnsi="微软雅黑" w:eastAsia="微软雅黑"/>
        </w:rPr>
        <w:t>软件结束</w:t>
      </w:r>
      <w:bookmarkEnd w:id="49"/>
      <w:bookmarkEnd w:id="50"/>
    </w:p>
    <w:p w14:paraId="4FBEAF35">
      <w:pPr>
        <w:spacing w:line="440" w:lineRule="exact"/>
        <w:ind w:firstLine="480"/>
        <w:rPr>
          <w:rFonts w:hint="eastAsia"/>
        </w:rPr>
      </w:pPr>
      <w:r>
        <w:t>移动端App不设置独立的桌面式“退出程序”按钮。用户结束使用时可返回手机桌面、在系统任务管理中关闭应用，或在个人中心退出登录。</w:t>
      </w:r>
    </w:p>
    <w:p w14:paraId="61547252">
      <w:pPr>
        <w:spacing w:line="440" w:lineRule="exact"/>
        <w:ind w:firstLine="480"/>
        <w:rPr>
          <w:rFonts w:hint="eastAsia" w:ascii="微软雅黑" w:hAnsi="微软雅黑" w:eastAsia="微软雅黑"/>
        </w:rPr>
      </w:pPr>
      <w:r>
        <w:t>退出登录后，应用返回登录页；已发布内容和未读消息仍保留在服务端，下次登录后可继续查看。</w:t>
      </w:r>
    </w:p>
    <w:p w14:paraId="7FB2AD78">
      <w:pPr>
        <w:pStyle w:val="2"/>
        <w:keepNext/>
        <w:rPr>
          <w:rFonts w:hint="eastAsia" w:ascii="微软雅黑" w:hAnsi="微软雅黑" w:eastAsia="微软雅黑"/>
        </w:rPr>
      </w:pPr>
      <w:bookmarkStart w:id="51" w:name="_Toc19396"/>
      <w:bookmarkStart w:id="52" w:name="_Toc238414479"/>
      <w:r>
        <w:rPr>
          <w:rFonts w:hint="eastAsia" w:ascii="微软雅黑" w:hAnsi="微软雅黑" w:eastAsia="微软雅黑"/>
          <w:lang w:val="en-US" w:eastAsia="zh-CN"/>
        </w:rPr>
        <w:t>八．</w:t>
      </w:r>
      <w:r>
        <w:rPr>
          <w:rFonts w:ascii="微软雅黑" w:hAnsi="微软雅黑" w:eastAsia="微软雅黑"/>
        </w:rPr>
        <w:t>其他功能</w:t>
      </w:r>
      <w:bookmarkEnd w:id="51"/>
      <w:bookmarkEnd w:id="52"/>
    </w:p>
    <w:p w14:paraId="3A9B26F1">
      <w:pPr>
        <w:spacing w:line="440" w:lineRule="exact"/>
        <w:ind w:firstLine="480"/>
      </w:pPr>
      <w:r>
        <w:rPr>
          <w:rFonts w:hint="eastAsia"/>
        </w:rPr>
        <w:t>在隐私保护方面，</w:t>
      </w:r>
      <w:r>
        <w:rPr>
          <w:rFonts w:hint="eastAsia"/>
          <w:lang w:val="en-US" w:eastAsia="zh-CN"/>
        </w:rPr>
        <w:t>软件</w:t>
      </w:r>
      <w:r>
        <w:rPr>
          <w:rFonts w:hint="eastAsia"/>
        </w:rPr>
        <w:t>对手机号、学信网认证信息、学校专业、位置和聊天内容等个人数据按最小必要原则采集和使用，仅用于注册认证、附近校友、好友推荐和消息沟通等业务环节，并通过加密传输、访问权限控制和安全存储降低泄露风险。用户可以自行控制动态的可见范围和公开程度，选择</w:t>
      </w:r>
      <w:r>
        <w:rPr>
          <w:rFonts w:hint="eastAsia"/>
          <w:lang w:val="en-US" w:eastAsia="zh-CN"/>
        </w:rPr>
        <w:t>仅好友可见</w:t>
      </w:r>
      <w:r>
        <w:rPr>
          <w:rFonts w:hint="eastAsia"/>
        </w:rPr>
        <w:t>，也可以将不希望接触的用户加入黑名单，或通过解除好友关系限制对方继续查看资料和动态。系统只向其他用户展示完成当前业务所必需的信息，不把用户资料用于交友、活动、动态和消息之外的用途，也不向无关第三方披露。</w:t>
      </w:r>
    </w:p>
    <w:p w14:paraId="04B5D433">
      <w:pPr>
        <w:spacing w:line="440" w:lineRule="exact"/>
        <w:ind w:firstLine="480"/>
        <w:rPr>
          <w:rFonts w:hint="eastAsia"/>
        </w:rPr>
      </w:pPr>
      <w:r>
        <w:t>当用户未完成实名认证或操作不满足业务规则时，系统会以弹窗或提示语说明原因。未认证用户无法使用打招呼、活动报名、动态发布和附近雷达功能。</w:t>
      </w:r>
      <w:r>
        <w:rPr>
          <w:rFonts w:hint="eastAsia"/>
        </w:rPr>
        <w:t>例如：未实名认证时，系统会给出相应提示如图22所示。</w:t>
      </w:r>
    </w:p>
    <w:p w14:paraId="4E9A68E4">
      <w:pPr>
        <w:spacing w:after="120"/>
        <w:ind w:firstLine="48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02460" cy="3742690"/>
            <wp:effectExtent l="0" t="0" r="2540" b="3810"/>
            <wp:docPr id="3" name="图片 3" descr="3138138d4b0e6a99ebbd051d4ff44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138138d4b0e6a99ebbd051d4ff4445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02460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6CDCB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图2</w:t>
      </w:r>
      <w:r>
        <w:rPr>
          <w:rFonts w:hint="eastAsia"/>
          <w:b/>
          <w:color w:val="595959"/>
          <w:sz w:val="18"/>
        </w:rPr>
        <w:t>2</w:t>
      </w:r>
      <w:r>
        <w:rPr>
          <w:b/>
          <w:color w:val="595959"/>
          <w:sz w:val="18"/>
        </w:rPr>
        <w:t xml:space="preserve"> </w:t>
      </w:r>
      <w:r>
        <w:rPr>
          <w:rFonts w:hint="eastAsia"/>
          <w:b/>
          <w:color w:val="595959"/>
          <w:sz w:val="18"/>
        </w:rPr>
        <w:t>未实名认证提示页面</w:t>
      </w:r>
    </w:p>
    <w:p w14:paraId="4401ABDA">
      <w:pPr>
        <w:spacing w:line="440" w:lineRule="exact"/>
        <w:ind w:firstLine="480"/>
        <w:rPr>
          <w:rFonts w:hint="eastAsia"/>
        </w:rPr>
      </w:pPr>
      <w:r>
        <w:t>组局、动态和公告发布后进入人工审核；审核通过后正式展示，打回时显示明确原因，用户可在个人中心重新编辑后提交。</w:t>
      </w:r>
      <w:r>
        <w:rPr>
          <w:rFonts w:hint="eastAsia"/>
        </w:rPr>
        <w:t>例如：</w:t>
      </w:r>
      <w:r>
        <w:t>公告人工审核未通过时页面显示打回原因，用户可重新编辑提交，公告被人工审核打回</w:t>
      </w:r>
      <w:r>
        <w:rPr>
          <w:rFonts w:hint="eastAsia"/>
        </w:rPr>
        <w:t>如图23所示。</w:t>
      </w:r>
    </w:p>
    <w:p w14:paraId="0F2AB280">
      <w:pPr>
        <w:spacing w:after="120"/>
        <w:ind w:firstLine="48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763520" cy="3154045"/>
            <wp:effectExtent l="0" t="0" r="5080" b="8255"/>
            <wp:docPr id="22" name="图片 22" descr="6a5be55390e139e6ff5c1d575abac1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6a5be55390e139e6ff5c1d575abac1c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E85FB">
      <w:pPr>
        <w:spacing w:before="60" w:after="200" w:line="240" w:lineRule="auto"/>
        <w:ind w:firstLine="361"/>
        <w:jc w:val="center"/>
        <w:rPr>
          <w:rFonts w:hint="eastAsia"/>
          <w:b/>
          <w:color w:val="595959"/>
          <w:sz w:val="18"/>
        </w:rPr>
      </w:pPr>
      <w:r>
        <w:rPr>
          <w:b/>
          <w:color w:val="595959"/>
          <w:sz w:val="18"/>
        </w:rPr>
        <w:t>图2</w:t>
      </w:r>
      <w:r>
        <w:rPr>
          <w:rFonts w:hint="eastAsia"/>
          <w:b/>
          <w:color w:val="595959"/>
          <w:sz w:val="18"/>
        </w:rPr>
        <w:t>3</w:t>
      </w:r>
      <w:r>
        <w:rPr>
          <w:b/>
          <w:color w:val="595959"/>
          <w:sz w:val="18"/>
        </w:rPr>
        <w:t xml:space="preserve"> </w:t>
      </w:r>
      <w:r>
        <w:rPr>
          <w:rFonts w:hint="eastAsia"/>
          <w:b/>
          <w:color w:val="595959"/>
          <w:sz w:val="18"/>
        </w:rPr>
        <w:t>公告审核打回页面</w:t>
      </w:r>
    </w:p>
    <w:p w14:paraId="1D0E41E4">
      <w:pPr>
        <w:spacing w:line="440" w:lineRule="exact"/>
        <w:ind w:firstLine="480"/>
        <w:rPr>
          <w:rFonts w:hint="eastAsia"/>
        </w:rPr>
      </w:pPr>
      <w:r>
        <w:rPr>
          <w:rFonts w:hint="eastAsia"/>
          <w:lang w:val="en-US" w:eastAsia="zh-CN"/>
        </w:rPr>
        <w:t>软件</w:t>
      </w:r>
      <w:r>
        <w:t>提供每日打招呼次数限制、同一用户去重、黑名单、匿名动态、公开范围设置和积分赠送等安全与激励功能，用于保障校园社交秩序和内容质量。</w:t>
      </w:r>
      <w:r>
        <w:rPr>
          <w:rFonts w:hint="eastAsia"/>
        </w:rPr>
        <w:t>例如：</w:t>
      </w:r>
      <w:r>
        <w:t>黑名单页面可查看被拉黑用户信息及拉黑缘由，支持解除拉黑，黑名单页面如图</w:t>
      </w:r>
      <w:r>
        <w:rPr>
          <w:rFonts w:hint="eastAsia"/>
        </w:rPr>
        <w:t>24</w:t>
      </w:r>
      <w:r>
        <w:t>所示。</w:t>
      </w:r>
    </w:p>
    <w:p w14:paraId="0E1CEF10">
      <w:pPr>
        <w:spacing w:after="120"/>
        <w:ind w:firstLine="480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3154045" cy="3768090"/>
            <wp:effectExtent l="0" t="0" r="8255" b="3810"/>
            <wp:docPr id="34" name="图片 34" descr="90b40559920e3424232c8df1e9241f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90b40559920e3424232c8df1e9241f0b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54045" cy="376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A8CCB">
      <w:pPr>
        <w:spacing w:before="60" w:after="200" w:line="240" w:lineRule="auto"/>
        <w:ind w:firstLine="361"/>
        <w:jc w:val="center"/>
        <w:rPr>
          <w:rFonts w:hint="eastAsia"/>
        </w:rPr>
      </w:pPr>
      <w:r>
        <w:rPr>
          <w:b/>
          <w:color w:val="595959"/>
          <w:sz w:val="18"/>
        </w:rPr>
        <w:t>图</w:t>
      </w:r>
      <w:r>
        <w:rPr>
          <w:rFonts w:hint="eastAsia"/>
          <w:b/>
          <w:color w:val="595959"/>
          <w:sz w:val="18"/>
        </w:rPr>
        <w:t>24</w:t>
      </w:r>
      <w:r>
        <w:rPr>
          <w:b/>
          <w:color w:val="595959"/>
          <w:sz w:val="18"/>
        </w:rPr>
        <w:t xml:space="preserve"> 黑名单页面</w:t>
      </w:r>
    </w:p>
    <w:sectPr>
      <w:footerReference r:id="rId9" w:type="default"/>
      <w:pgSz w:w="11906" w:h="16838"/>
      <w:pgMar w:top="1440" w:right="1803" w:bottom="1440" w:left="1803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936A1">
    <w:pPr>
      <w:pStyle w:val="5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F6923">
    <w:pPr>
      <w:pStyle w:val="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45344">
    <w:pPr>
      <w:pStyle w:val="5"/>
      <w:ind w:firstLine="360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A5B28">
    <w:pPr>
      <w:pBdr>
        <w:bottom w:val="none" w:color="auto" w:sz="0" w:space="0"/>
      </w:pBdr>
      <w:spacing w:line="14" w:lineRule="auto"/>
      <w:ind w:firstLine="400"/>
      <w:rPr>
        <w:rFonts w:hint="eastAsia"/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1868805</wp:posOffset>
              </wp:positionH>
              <wp:positionV relativeFrom="page">
                <wp:posOffset>647065</wp:posOffset>
              </wp:positionV>
              <wp:extent cx="3604260" cy="247650"/>
              <wp:effectExtent l="0" t="0" r="0" b="0"/>
              <wp:wrapNone/>
              <wp:docPr id="297537577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4260" cy="247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21F08">
                          <w:pPr>
                            <w:spacing w:line="231" w:lineRule="exact"/>
                            <w:ind w:left="20" w:firstLine="360"/>
                            <w:jc w:val="center"/>
                            <w:rPr>
                              <w:rFonts w:ascii="Times New Roman" w:eastAsia="Times New Roman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青核-大学生校园交友与信息发布一体化智能服务软件</w:t>
                          </w:r>
                          <w:r>
                            <w:rPr>
                              <w:rFonts w:ascii="Times New Roman" w:eastAsia="Times New Roman"/>
                              <w:spacing w:val="-4"/>
                              <w:sz w:val="18"/>
                            </w:rPr>
                            <w:t>V1.0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147.15pt;margin-top:50.95pt;height:19.5pt;width:283.8pt;mso-position-horizontal-relative:page;mso-position-vertical-relative:page;z-index:-251656192;mso-width-relative:page;mso-height-relative:page;" filled="f" stroked="f" coordsize="21600,21600" o:gfxdata="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KYgfEdkAAAALAQAADwAAAAAAAAABACAAAAAiAAAAZHJzL2Rvd25yZXYueG1sUEsB&#10;AhQAFAAAAAgAh07iQAPk+Ji7AQAAfA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3E21F08">
                    <w:pPr>
                      <w:spacing w:line="231" w:lineRule="exact"/>
                      <w:ind w:left="20" w:firstLine="360"/>
                      <w:jc w:val="center"/>
                      <w:rPr>
                        <w:rFonts w:ascii="Times New Roman" w:eastAsia="Times New Roman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青核-大学生校园交友与信息发布一体化智能服务软件</w:t>
                    </w:r>
                    <w:r>
                      <w:rPr>
                        <w:rFonts w:ascii="Times New Roman" w:eastAsia="Times New Roman"/>
                        <w:spacing w:val="-4"/>
                        <w:sz w:val="18"/>
                      </w:rPr>
                      <w:t>V1.0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808990</wp:posOffset>
              </wp:positionV>
              <wp:extent cx="5568315" cy="9525"/>
              <wp:effectExtent l="0" t="0" r="0" b="0"/>
              <wp:wrapNone/>
              <wp:docPr id="1137647082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6831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68315" h="9525">
                            <a:moveTo>
                              <a:pt x="5568061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568061" y="9144"/>
                            </a:lnTo>
                            <a:lnTo>
                              <a:pt x="556806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69.5pt;margin-top:63.7pt;height:0.75pt;width:438.45pt;mso-position-horizontal-relative:page;mso-position-vertical-relative:page;z-index:-251657216;mso-width-relative:page;mso-height-relative:page;" fillcolor="#000000" filled="t" stroked="f" coordsize="5568315,9525" o:gfxdata="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osK53aAAAADAEAAA8AAAAAAAAAAQAgAAAAIgAAAGRycy9kb3ducmV2LnhtbFBLAQIU&#10;ABQAAAAIAIdO4kCPJr0PKgIAAOUEAAAOAAAAAAAAAAEAIAAAACkBAABkcnMvZTJvRG9jLnhtbFBL&#10;BQYAAAAABgAGAFkBAADFBQAAAAA=&#10;" path="m5568061,0l0,0,0,9144,5568061,9144,5568061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70795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86BFCC"/>
    <w:multiLevelType w:val="singleLevel"/>
    <w:tmpl w:val="0986BFCC"/>
    <w:lvl w:ilvl="0" w:tentative="0">
      <w:start w:val="1"/>
      <w:numFmt w:val="decimal"/>
      <w:lvlText w:val="[%1]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302257"/>
    <w:rsid w:val="00034B00"/>
    <w:rsid w:val="00072230"/>
    <w:rsid w:val="000D63DE"/>
    <w:rsid w:val="001477AB"/>
    <w:rsid w:val="001608F9"/>
    <w:rsid w:val="001A0EC9"/>
    <w:rsid w:val="001B6EFA"/>
    <w:rsid w:val="001C1588"/>
    <w:rsid w:val="001D492E"/>
    <w:rsid w:val="00203FAB"/>
    <w:rsid w:val="00230E48"/>
    <w:rsid w:val="002A2B75"/>
    <w:rsid w:val="002B60E1"/>
    <w:rsid w:val="002E6940"/>
    <w:rsid w:val="00302257"/>
    <w:rsid w:val="00342065"/>
    <w:rsid w:val="00343A14"/>
    <w:rsid w:val="00392E5C"/>
    <w:rsid w:val="003952C2"/>
    <w:rsid w:val="003A66D1"/>
    <w:rsid w:val="003B295D"/>
    <w:rsid w:val="005A374E"/>
    <w:rsid w:val="005A5121"/>
    <w:rsid w:val="005D3BCF"/>
    <w:rsid w:val="006443F3"/>
    <w:rsid w:val="006B20E4"/>
    <w:rsid w:val="006B5947"/>
    <w:rsid w:val="006F0EB0"/>
    <w:rsid w:val="006F2707"/>
    <w:rsid w:val="00716F4D"/>
    <w:rsid w:val="00725B04"/>
    <w:rsid w:val="00733BA0"/>
    <w:rsid w:val="0076509E"/>
    <w:rsid w:val="00797C98"/>
    <w:rsid w:val="007B7DB4"/>
    <w:rsid w:val="007C2561"/>
    <w:rsid w:val="00802966"/>
    <w:rsid w:val="00850F68"/>
    <w:rsid w:val="0087368A"/>
    <w:rsid w:val="009212CD"/>
    <w:rsid w:val="00931A4C"/>
    <w:rsid w:val="00946013"/>
    <w:rsid w:val="00961D45"/>
    <w:rsid w:val="00977D4C"/>
    <w:rsid w:val="009F5E6B"/>
    <w:rsid w:val="00A01B57"/>
    <w:rsid w:val="00AE5137"/>
    <w:rsid w:val="00B4364F"/>
    <w:rsid w:val="00B7215C"/>
    <w:rsid w:val="00B74E78"/>
    <w:rsid w:val="00BB4AD2"/>
    <w:rsid w:val="00BB5C35"/>
    <w:rsid w:val="00C01275"/>
    <w:rsid w:val="00C31DD7"/>
    <w:rsid w:val="00C427A9"/>
    <w:rsid w:val="00CA7BEF"/>
    <w:rsid w:val="00CD15B3"/>
    <w:rsid w:val="00CF1A30"/>
    <w:rsid w:val="00D00D0B"/>
    <w:rsid w:val="00D25D15"/>
    <w:rsid w:val="00D67BD0"/>
    <w:rsid w:val="00DE2A1D"/>
    <w:rsid w:val="00DF3A5A"/>
    <w:rsid w:val="00DF4B84"/>
    <w:rsid w:val="00E906A0"/>
    <w:rsid w:val="00E91815"/>
    <w:rsid w:val="031E23A7"/>
    <w:rsid w:val="03555351"/>
    <w:rsid w:val="03E72B61"/>
    <w:rsid w:val="04822ACB"/>
    <w:rsid w:val="095822FD"/>
    <w:rsid w:val="09C120A6"/>
    <w:rsid w:val="0A371277"/>
    <w:rsid w:val="0BD443A3"/>
    <w:rsid w:val="0BFC1173"/>
    <w:rsid w:val="0EEC4282"/>
    <w:rsid w:val="0FCA6714"/>
    <w:rsid w:val="107B1063"/>
    <w:rsid w:val="10E12910"/>
    <w:rsid w:val="129B0C28"/>
    <w:rsid w:val="16177D94"/>
    <w:rsid w:val="17133871"/>
    <w:rsid w:val="1749416F"/>
    <w:rsid w:val="186D5355"/>
    <w:rsid w:val="1CAF2FEA"/>
    <w:rsid w:val="1CE43C8A"/>
    <w:rsid w:val="251D6766"/>
    <w:rsid w:val="28765844"/>
    <w:rsid w:val="29D07A70"/>
    <w:rsid w:val="2CB573F1"/>
    <w:rsid w:val="310238AD"/>
    <w:rsid w:val="312C7F17"/>
    <w:rsid w:val="31970795"/>
    <w:rsid w:val="32024AD9"/>
    <w:rsid w:val="32C95390"/>
    <w:rsid w:val="334E5B88"/>
    <w:rsid w:val="33AB6E58"/>
    <w:rsid w:val="3A0109AF"/>
    <w:rsid w:val="3A514572"/>
    <w:rsid w:val="3A7F012D"/>
    <w:rsid w:val="3C7E0DBB"/>
    <w:rsid w:val="3F450D80"/>
    <w:rsid w:val="3F536673"/>
    <w:rsid w:val="41792E05"/>
    <w:rsid w:val="45AC19BC"/>
    <w:rsid w:val="463A7548"/>
    <w:rsid w:val="47AB077C"/>
    <w:rsid w:val="49051B72"/>
    <w:rsid w:val="493B2F06"/>
    <w:rsid w:val="4EC46031"/>
    <w:rsid w:val="50142B9D"/>
    <w:rsid w:val="50391CD6"/>
    <w:rsid w:val="55930427"/>
    <w:rsid w:val="59663326"/>
    <w:rsid w:val="60B05CE6"/>
    <w:rsid w:val="60DC5E88"/>
    <w:rsid w:val="634B2557"/>
    <w:rsid w:val="63DC4A9B"/>
    <w:rsid w:val="66275708"/>
    <w:rsid w:val="662763D4"/>
    <w:rsid w:val="67213F2A"/>
    <w:rsid w:val="677A232C"/>
    <w:rsid w:val="67D34D77"/>
    <w:rsid w:val="680B3980"/>
    <w:rsid w:val="68FD088A"/>
    <w:rsid w:val="6AC86E63"/>
    <w:rsid w:val="6B150A32"/>
    <w:rsid w:val="6C1D7BEB"/>
    <w:rsid w:val="6F247264"/>
    <w:rsid w:val="711C5DC8"/>
    <w:rsid w:val="714B0B8B"/>
    <w:rsid w:val="7265409A"/>
    <w:rsid w:val="72900289"/>
    <w:rsid w:val="72C67412"/>
    <w:rsid w:val="73D9388C"/>
    <w:rsid w:val="75492C0B"/>
    <w:rsid w:val="75494615"/>
    <w:rsid w:val="756C3287"/>
    <w:rsid w:val="7C3544C1"/>
    <w:rsid w:val="7C752273"/>
    <w:rsid w:val="7D5D3364"/>
    <w:rsid w:val="7E3C301A"/>
    <w:rsid w:val="7F0E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ind w:firstLine="200" w:firstLineChars="200"/>
      <w:jc w:val="both"/>
    </w:pPr>
    <w:rPr>
      <w:rFonts w:ascii="宋体" w:hAnsi="宋体" w:eastAsia="宋体" w:cs="宋体"/>
      <w:sz w:val="24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ind w:firstLine="0" w:firstLineChars="0"/>
      <w:outlineLvl w:val="0"/>
    </w:pPr>
    <w:rPr>
      <w:rFonts w:ascii="Microsoft JhengHei" w:hAnsi="Microsoft JhengHei" w:eastAsia="黑体" w:cs="Microsoft JhengHei"/>
      <w:b/>
      <w:bCs/>
      <w:sz w:val="28"/>
      <w:szCs w:val="28"/>
    </w:rPr>
  </w:style>
  <w:style w:type="paragraph" w:styleId="3">
    <w:name w:val="heading 2"/>
    <w:basedOn w:val="1"/>
    <w:unhideWhenUsed/>
    <w:qFormat/>
    <w:uiPriority w:val="9"/>
    <w:pPr>
      <w:outlineLvl w:val="1"/>
    </w:pPr>
    <w:rPr>
      <w:b/>
      <w:bCs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Cs w:val="24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qFormat/>
    <w:uiPriority w:val="39"/>
    <w:pPr>
      <w:spacing w:line="240" w:lineRule="auto"/>
      <w:ind w:left="264" w:hanging="263"/>
    </w:pPr>
    <w:rPr>
      <w:sz w:val="20"/>
      <w:szCs w:val="21"/>
    </w:rPr>
  </w:style>
  <w:style w:type="paragraph" w:styleId="8">
    <w:name w:val="toc 2"/>
    <w:basedOn w:val="1"/>
    <w:qFormat/>
    <w:uiPriority w:val="39"/>
    <w:pPr>
      <w:spacing w:line="240" w:lineRule="auto"/>
      <w:ind w:left="264" w:hanging="263"/>
    </w:pPr>
    <w:rPr>
      <w:sz w:val="20"/>
      <w:szCs w:val="21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qFormat/>
    <w:uiPriority w:val="10"/>
    <w:pPr>
      <w:ind w:left="2709" w:right="244" w:hanging="2612"/>
    </w:pPr>
    <w:rPr>
      <w:rFonts w:ascii="Microsoft JhengHei" w:hAnsi="Microsoft JhengHei" w:eastAsia="Microsoft JhengHei" w:cs="Microsoft JhengHei"/>
      <w:b/>
      <w:bCs/>
      <w:sz w:val="52"/>
      <w:szCs w:val="52"/>
    </w:r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HTML Code"/>
    <w:basedOn w:val="12"/>
    <w:semiHidden/>
    <w:unhideWhenUsed/>
    <w:qFormat/>
    <w:uiPriority w:val="99"/>
    <w:rPr>
      <w:rFonts w:ascii="Courier New" w:hAnsi="Courier New"/>
      <w:sz w:val="20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  <w:pPr>
      <w:spacing w:before="56"/>
      <w:ind w:left="264" w:hanging="395"/>
    </w:pPr>
  </w:style>
  <w:style w:type="paragraph" w:customStyle="1" w:styleId="18">
    <w:name w:val="Table Paragraph"/>
    <w:basedOn w:val="1"/>
    <w:qFormat/>
    <w:uiPriority w:val="1"/>
    <w:rPr>
      <w:rFonts w:ascii="Times New Roman" w:hAnsi="Times New Roman" w:eastAsia="Times New Roman" w:cs="Times New Roman"/>
    </w:rPr>
  </w:style>
  <w:style w:type="character" w:customStyle="1" w:styleId="19">
    <w:name w:val="页眉 字符"/>
    <w:basedOn w:val="12"/>
    <w:link w:val="6"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20">
    <w:name w:val="页脚 字符"/>
    <w:basedOn w:val="12"/>
    <w:link w:val="5"/>
    <w:qFormat/>
    <w:uiPriority w:val="99"/>
    <w:rPr>
      <w:rFonts w:ascii="宋体" w:hAnsi="宋体" w:eastAsia="宋体" w:cs="宋体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endnotes" Target="endnotes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footnotes" Target="footnotes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7524</Words>
  <Characters>8486</Characters>
  <Lines>76</Lines>
  <Paragraphs>21</Paragraphs>
  <TotalTime>34</TotalTime>
  <ScaleCrop>false</ScaleCrop>
  <LinksUpToDate>false</LinksUpToDate>
  <CharactersWithSpaces>8538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2026-08-12T12:32:00Z</dcterms:created>
  <dc:creator>巴适伙伴（上海）科技有限公司</dc:creator>
  <cp:lastModifiedBy>杂破</cp:lastModifiedBy>
  <dcterms:modified xsi:type="dcterms:W3CDTF">2026-08-25T01:49:55Z</dcterms:modified>
  <dc:subject>青核软件使用说明书</dc:subject>
  <dc:title>青核-大学生校园交友与信息发布一体化智能服务平台V1.0软件使用说明书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2024-08-31T00:00:00Z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2026-08-12T00:00:00Z</vt:filetime>
  </property>
  <property fmtid="{D5CDD505-2E9C-101B-9397-08002B2CF9AE}" pid="5" name="Producer">
    <vt:lpwstr>Aspose.PDF for Java 23.7</vt:lpwstr>
  </property>
  <property fmtid="{D5CDD505-2E9C-101B-9397-08002B2CF9AE}" pid="6" name="KSOTemplateDocerSaveRecord">
    <vt:lpwstr>eyJoZGlkIjoiYzNkYjdlNzMxMzk0MjQ2ZTc4MDY5MWMwYjgzMTA4MTIiLCJ1c2VySWQiOiIxNTcwODA4MTg3In0=</vt:lpwstr>
  </property>
  <property fmtid="{D5CDD505-2E9C-101B-9397-08002B2CF9AE}" pid="7" name="KSOProductBuildVer">
    <vt:lpwstr>2052-12.1.0.28043</vt:lpwstr>
  </property>
  <property fmtid="{D5CDD505-2E9C-101B-9397-08002B2CF9AE}" pid="8" name="ICV">
    <vt:lpwstr>72ADBCEF31DD4B6795985258D9C794BA_13</vt:lpwstr>
  </property>
</Properties>
</file>