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2F3B6">
      <w:pPr>
        <w:rPr>
          <w:rFonts w:hint="eastAsia"/>
        </w:rPr>
      </w:pPr>
    </w:p>
    <w:p w14:paraId="6ED0334B">
      <w:pPr>
        <w:pStyle w:val="34"/>
        <w:widowControl w:val="0"/>
        <w:pBdr>
          <w:bottom w:val="none" w:color="auto" w:sz="0" w:space="0"/>
        </w:pBdr>
        <w:autoSpaceDE w:val="0"/>
        <w:autoSpaceDN w:val="0"/>
        <w:spacing w:after="0" w:line="261" w:lineRule="auto"/>
        <w:ind w:right="244"/>
        <w:contextualSpacing w:val="0"/>
        <w:jc w:val="both"/>
        <w:rPr>
          <w:rFonts w:hint="eastAsia" w:cs="Microsoft JhengHei" w:asciiTheme="minorEastAsia" w:hAnsiTheme="minorEastAsia" w:eastAsiaTheme="minorEastAsia"/>
          <w:b/>
          <w:bCs/>
          <w:spacing w:val="-2"/>
          <w:kern w:val="0"/>
          <w:lang w:eastAsia="zh-CN"/>
        </w:rPr>
      </w:pPr>
    </w:p>
    <w:p w14:paraId="5083E2C5">
      <w:pPr>
        <w:pStyle w:val="34"/>
        <w:widowControl w:val="0"/>
        <w:pBdr>
          <w:bottom w:val="none" w:color="auto" w:sz="0" w:space="0"/>
        </w:pBdr>
        <w:autoSpaceDE w:val="0"/>
        <w:autoSpaceDN w:val="0"/>
        <w:spacing w:after="0" w:line="261" w:lineRule="auto"/>
        <w:ind w:right="244"/>
        <w:contextualSpacing w:val="0"/>
        <w:jc w:val="both"/>
        <w:rPr>
          <w:rFonts w:hint="eastAsia" w:cs="Microsoft JhengHei" w:asciiTheme="minorEastAsia" w:hAnsiTheme="minorEastAsia" w:eastAsiaTheme="minorEastAsia"/>
          <w:b/>
          <w:bCs/>
          <w:spacing w:val="-2"/>
          <w:kern w:val="0"/>
          <w:lang w:eastAsia="zh-CN"/>
        </w:rPr>
      </w:pPr>
    </w:p>
    <w:p w14:paraId="0F0DCD99">
      <w:pPr>
        <w:pStyle w:val="34"/>
        <w:widowControl w:val="0"/>
        <w:pBdr>
          <w:bottom w:val="none" w:color="auto" w:sz="0" w:space="0"/>
        </w:pBdr>
        <w:autoSpaceDE w:val="0"/>
        <w:autoSpaceDN w:val="0"/>
        <w:spacing w:after="0" w:line="261" w:lineRule="auto"/>
        <w:ind w:right="244"/>
        <w:contextualSpacing w:val="0"/>
        <w:jc w:val="both"/>
        <w:rPr>
          <w:rFonts w:hint="eastAsia" w:cs="Microsoft JhengHei" w:asciiTheme="minorEastAsia" w:hAnsiTheme="minorEastAsia" w:eastAsiaTheme="minorEastAsia"/>
          <w:b/>
          <w:bCs/>
          <w:color w:val="auto"/>
          <w:spacing w:val="-2"/>
          <w:kern w:val="0"/>
          <w:lang w:eastAsia="zh-CN"/>
        </w:rPr>
      </w:pPr>
    </w:p>
    <w:p w14:paraId="1B57DAF4">
      <w:pPr>
        <w:pStyle w:val="34"/>
        <w:widowControl w:val="0"/>
        <w:pBdr>
          <w:bottom w:val="none" w:color="auto" w:sz="0" w:space="0"/>
        </w:pBdr>
        <w:autoSpaceDE w:val="0"/>
        <w:autoSpaceDN w:val="0"/>
        <w:spacing w:after="0" w:line="261" w:lineRule="auto"/>
        <w:ind w:left="97" w:right="244" w:firstLine="1036" w:firstLineChars="200"/>
        <w:contextualSpacing w:val="0"/>
        <w:jc w:val="center"/>
        <w:rPr>
          <w:rFonts w:hint="eastAsia" w:ascii="宋体" w:hAnsi="宋体" w:eastAsia="宋体" w:cs="宋体"/>
          <w:b/>
          <w:bCs/>
          <w:color w:val="auto"/>
          <w:spacing w:val="-2"/>
          <w:kern w:val="0"/>
          <w:lang w:eastAsia="zh-CN"/>
        </w:rPr>
      </w:pPr>
      <w:r>
        <w:rPr>
          <w:rFonts w:hint="eastAsia" w:ascii="宋体" w:hAnsi="宋体" w:eastAsia="宋体" w:cs="宋体"/>
          <w:b/>
          <w:bCs/>
          <w:color w:val="auto"/>
          <w:spacing w:val="-2"/>
          <w:kern w:val="0"/>
          <w:lang w:val="en-US" w:eastAsia="zh-CN"/>
        </w:rPr>
        <w:t>轻松聘-智能招聘求职服务APP</w:t>
      </w:r>
    </w:p>
    <w:p w14:paraId="2836935C">
      <w:pPr>
        <w:pStyle w:val="34"/>
        <w:widowControl w:val="0"/>
        <w:pBdr>
          <w:bottom w:val="none" w:color="auto" w:sz="0" w:space="0"/>
        </w:pBdr>
        <w:autoSpaceDE w:val="0"/>
        <w:autoSpaceDN w:val="0"/>
        <w:spacing w:after="0" w:line="261" w:lineRule="auto"/>
        <w:ind w:left="97" w:right="244" w:firstLine="1036" w:firstLineChars="200"/>
        <w:contextualSpacing w:val="0"/>
        <w:jc w:val="center"/>
        <w:rPr>
          <w:rFonts w:hint="eastAsia" w:ascii="宋体" w:hAnsi="宋体" w:eastAsia="宋体" w:cs="宋体"/>
          <w:b/>
          <w:bCs/>
          <w:color w:val="auto"/>
          <w:spacing w:val="-2"/>
          <w:kern w:val="0"/>
          <w:lang w:val="en-US" w:eastAsia="zh-CN"/>
        </w:rPr>
        <w:sectPr>
          <w:footerReference r:id="rId6" w:type="first"/>
          <w:headerReference r:id="rId5" w:type="default"/>
          <w:pgSz w:w="12240" w:h="15840"/>
          <w:pgMar w:top="1440" w:right="1803" w:bottom="1440" w:left="1803" w:header="720" w:footer="720" w:gutter="0"/>
          <w:pgNumType w:fmt="decimalFullWidth"/>
          <w:cols w:space="720" w:num="1"/>
          <w:titlePg/>
          <w:docGrid w:linePitch="360" w:charSpace="0"/>
        </w:sectPr>
      </w:pPr>
      <w:r>
        <w:rPr>
          <w:rFonts w:hint="eastAsia" w:ascii="宋体" w:hAnsi="宋体" w:eastAsia="宋体" w:cs="宋体"/>
          <w:b/>
          <w:bCs/>
          <w:color w:val="auto"/>
          <w:spacing w:val="-2"/>
          <w:kern w:val="0"/>
          <w:lang w:eastAsia="zh-CN"/>
        </w:rPr>
        <w:t>软件使用说明</w:t>
      </w:r>
      <w:r>
        <w:rPr>
          <w:rFonts w:hint="eastAsia" w:ascii="宋体" w:hAnsi="宋体" w:eastAsia="宋体" w:cs="宋体"/>
          <w:b/>
          <w:bCs/>
          <w:color w:val="auto"/>
          <w:spacing w:val="-2"/>
          <w:kern w:val="0"/>
          <w:lang w:val="en-US" w:eastAsia="zh-CN"/>
        </w:rPr>
        <w:t>书</w:t>
      </w:r>
    </w:p>
    <w:p w14:paraId="256CD70D">
      <w:pPr>
        <w:jc w:val="center"/>
        <w:rPr>
          <w:rFonts w:hint="eastAsia"/>
        </w:rPr>
      </w:pPr>
      <w:r>
        <w:rPr>
          <w:rFonts w:ascii="黑体" w:hAnsi="黑体" w:eastAsia="黑体"/>
          <w:b/>
          <w:sz w:val="36"/>
        </w:rPr>
        <w:t>目录</w:t>
      </w:r>
    </w:p>
    <w:p w14:paraId="0DA1B041">
      <w:pPr>
        <w:pStyle w:val="26"/>
        <w:keepNext w:val="0"/>
        <w:keepLines w:val="0"/>
        <w:pageBreakBefore w:val="0"/>
        <w:widowControl/>
        <w:tabs>
          <w:tab w:val="right" w:leader="dot" w:pos="8624"/>
        </w:tabs>
        <w:kinsoku/>
        <w:wordWrap/>
        <w:overflowPunct/>
        <w:topLinePunct w:val="0"/>
        <w:autoSpaceDE/>
        <w:autoSpaceDN/>
        <w:bidi w:val="0"/>
        <w:adjustRightInd/>
        <w:snapToGrid/>
        <w:spacing w:line="262" w:lineRule="auto"/>
        <w:textAlignment w:val="auto"/>
        <w:rPr>
          <w:rFonts w:hint="eastAsia"/>
        </w:rPr>
      </w:pPr>
      <w:r>
        <w:fldChar w:fldCharType="begin"/>
      </w:r>
      <w:r>
        <w:instrText xml:space="preserve">TOC \o "1-2" \h \z \u</w:instrText>
      </w:r>
      <w:r>
        <w:fldChar w:fldCharType="separate"/>
      </w:r>
      <w:r>
        <w:fldChar w:fldCharType="begin"/>
      </w:r>
      <w:r>
        <w:instrText xml:space="preserve"> HYPERLINK \l "_Toc239695471" </w:instrText>
      </w:r>
      <w:r>
        <w:fldChar w:fldCharType="separate"/>
      </w:r>
      <w:r>
        <w:rPr>
          <w:rStyle w:val="138"/>
          <w:rFonts w:ascii="黑体" w:hAnsi="黑体" w:eastAsia="黑体"/>
        </w:rPr>
        <w:t>一、总体功能描述</w:t>
      </w:r>
      <w:r>
        <w:rPr>
          <w:rFonts w:hint="eastAsia"/>
        </w:rPr>
        <w:tab/>
      </w:r>
      <w:r>
        <w:rPr>
          <w:rFonts w:hint="eastAsia"/>
          <w:lang w:val="en-US" w:eastAsia="zh-CN"/>
        </w:rPr>
        <w:t>1</w:t>
      </w:r>
      <w:r>
        <w:rPr>
          <w:rFonts w:hint="eastAsia"/>
        </w:rPr>
        <w:fldChar w:fldCharType="end"/>
      </w:r>
    </w:p>
    <w:p w14:paraId="0EF358B3">
      <w:pPr>
        <w:pStyle w:val="26"/>
        <w:keepNext w:val="0"/>
        <w:keepLines w:val="0"/>
        <w:pageBreakBefore w:val="0"/>
        <w:widowControl/>
        <w:tabs>
          <w:tab w:val="right" w:leader="dot" w:pos="8624"/>
        </w:tabs>
        <w:kinsoku/>
        <w:wordWrap/>
        <w:overflowPunct/>
        <w:topLinePunct w:val="0"/>
        <w:autoSpaceDE/>
        <w:autoSpaceDN/>
        <w:bidi w:val="0"/>
        <w:adjustRightInd/>
        <w:snapToGrid/>
        <w:spacing w:line="262" w:lineRule="auto"/>
        <w:textAlignment w:val="auto"/>
        <w:rPr>
          <w:rFonts w:hint="eastAsia"/>
        </w:rPr>
      </w:pPr>
      <w:r>
        <w:fldChar w:fldCharType="begin"/>
      </w:r>
      <w:r>
        <w:instrText xml:space="preserve"> HYPERLINK \l "_Toc239695472" </w:instrText>
      </w:r>
      <w:r>
        <w:fldChar w:fldCharType="separate"/>
      </w:r>
      <w:r>
        <w:rPr>
          <w:rStyle w:val="138"/>
          <w:rFonts w:ascii="黑体" w:hAnsi="黑体" w:eastAsia="黑体"/>
        </w:rPr>
        <w:t>二、运行环境</w:t>
      </w:r>
      <w:r>
        <w:rPr>
          <w:rFonts w:hint="eastAsia"/>
        </w:rPr>
        <w:tab/>
      </w:r>
      <w:r>
        <w:rPr>
          <w:rFonts w:hint="eastAsia"/>
          <w:lang w:val="en-US" w:eastAsia="zh-CN"/>
        </w:rPr>
        <w:t>1</w:t>
      </w:r>
      <w:r>
        <w:rPr>
          <w:rFonts w:hint="eastAsia"/>
        </w:rPr>
        <w:fldChar w:fldCharType="end"/>
      </w:r>
    </w:p>
    <w:p w14:paraId="289E8F83">
      <w:pPr>
        <w:pStyle w:val="26"/>
        <w:keepNext w:val="0"/>
        <w:keepLines w:val="0"/>
        <w:pageBreakBefore w:val="0"/>
        <w:widowControl/>
        <w:tabs>
          <w:tab w:val="right" w:leader="dot" w:pos="8624"/>
        </w:tabs>
        <w:kinsoku/>
        <w:wordWrap/>
        <w:overflowPunct/>
        <w:topLinePunct w:val="0"/>
        <w:autoSpaceDE/>
        <w:autoSpaceDN/>
        <w:bidi w:val="0"/>
        <w:adjustRightInd/>
        <w:snapToGrid/>
        <w:spacing w:line="262" w:lineRule="auto"/>
        <w:textAlignment w:val="auto"/>
        <w:rPr>
          <w:rFonts w:hint="eastAsia"/>
        </w:rPr>
      </w:pPr>
      <w:r>
        <w:fldChar w:fldCharType="begin"/>
      </w:r>
      <w:r>
        <w:instrText xml:space="preserve"> HYPERLINK \l "_Toc239695473" </w:instrText>
      </w:r>
      <w:r>
        <w:fldChar w:fldCharType="separate"/>
      </w:r>
      <w:r>
        <w:rPr>
          <w:rStyle w:val="138"/>
          <w:rFonts w:ascii="黑体" w:hAnsi="黑体" w:eastAsia="黑体"/>
        </w:rPr>
        <w:t>三、软件编译环境</w:t>
      </w:r>
      <w:r>
        <w:rPr>
          <w:rFonts w:hint="eastAsia"/>
        </w:rPr>
        <w:tab/>
      </w:r>
      <w:r>
        <w:rPr>
          <w:rFonts w:hint="eastAsia"/>
          <w:lang w:val="en-US" w:eastAsia="zh-CN"/>
        </w:rPr>
        <w:t>2</w:t>
      </w:r>
      <w:r>
        <w:rPr>
          <w:rFonts w:hint="eastAsia"/>
        </w:rPr>
        <w:fldChar w:fldCharType="end"/>
      </w:r>
    </w:p>
    <w:p w14:paraId="65F46F2D">
      <w:pPr>
        <w:pStyle w:val="26"/>
        <w:keepNext w:val="0"/>
        <w:keepLines w:val="0"/>
        <w:pageBreakBefore w:val="0"/>
        <w:widowControl/>
        <w:tabs>
          <w:tab w:val="right" w:leader="dot" w:pos="8624"/>
        </w:tabs>
        <w:kinsoku/>
        <w:wordWrap/>
        <w:overflowPunct/>
        <w:topLinePunct w:val="0"/>
        <w:autoSpaceDE/>
        <w:autoSpaceDN/>
        <w:bidi w:val="0"/>
        <w:adjustRightInd/>
        <w:snapToGrid/>
        <w:spacing w:line="262" w:lineRule="auto"/>
        <w:textAlignment w:val="auto"/>
        <w:rPr>
          <w:rFonts w:hint="eastAsia"/>
        </w:rPr>
      </w:pPr>
      <w:r>
        <w:fldChar w:fldCharType="begin"/>
      </w:r>
      <w:r>
        <w:instrText xml:space="preserve"> HYPERLINK \l "_Toc239695474" </w:instrText>
      </w:r>
      <w:r>
        <w:fldChar w:fldCharType="separate"/>
      </w:r>
      <w:r>
        <w:rPr>
          <w:rStyle w:val="138"/>
          <w:rFonts w:ascii="黑体" w:hAnsi="黑体" w:eastAsia="黑体"/>
        </w:rPr>
        <w:t>四、软件安装说明</w:t>
      </w:r>
      <w:r>
        <w:rPr>
          <w:rFonts w:hint="eastAsia"/>
        </w:rPr>
        <w:tab/>
      </w:r>
      <w:r>
        <w:rPr>
          <w:rFonts w:hint="eastAsia"/>
          <w:lang w:val="en-US" w:eastAsia="zh-CN"/>
        </w:rPr>
        <w:t>3</w:t>
      </w:r>
      <w:r>
        <w:rPr>
          <w:rFonts w:hint="eastAsia"/>
        </w:rPr>
        <w:fldChar w:fldCharType="end"/>
      </w:r>
    </w:p>
    <w:p w14:paraId="6D5A0256">
      <w:pPr>
        <w:pStyle w:val="26"/>
        <w:keepNext w:val="0"/>
        <w:keepLines w:val="0"/>
        <w:pageBreakBefore w:val="0"/>
        <w:widowControl/>
        <w:tabs>
          <w:tab w:val="right" w:leader="dot" w:pos="8624"/>
        </w:tabs>
        <w:kinsoku/>
        <w:wordWrap/>
        <w:overflowPunct/>
        <w:topLinePunct w:val="0"/>
        <w:autoSpaceDE/>
        <w:autoSpaceDN/>
        <w:bidi w:val="0"/>
        <w:adjustRightInd/>
        <w:snapToGrid/>
        <w:spacing w:line="262" w:lineRule="auto"/>
        <w:textAlignment w:val="auto"/>
        <w:rPr>
          <w:rFonts w:hint="eastAsia"/>
        </w:rPr>
      </w:pPr>
      <w:r>
        <w:fldChar w:fldCharType="begin"/>
      </w:r>
      <w:r>
        <w:instrText xml:space="preserve"> HYPERLINK \l "_Toc239695475" </w:instrText>
      </w:r>
      <w:r>
        <w:fldChar w:fldCharType="separate"/>
      </w:r>
      <w:r>
        <w:rPr>
          <w:rStyle w:val="138"/>
          <w:rFonts w:ascii="黑体" w:hAnsi="黑体" w:eastAsia="黑体"/>
        </w:rPr>
        <w:t>五、软件使用</w:t>
      </w:r>
      <w:r>
        <w:rPr>
          <w:rFonts w:hint="eastAsia"/>
        </w:rPr>
        <w:tab/>
      </w:r>
      <w:r>
        <w:rPr>
          <w:rFonts w:hint="eastAsia"/>
          <w:lang w:val="en-US" w:eastAsia="zh-CN"/>
        </w:rPr>
        <w:t>3</w:t>
      </w:r>
      <w:r>
        <w:rPr>
          <w:rFonts w:hint="eastAsia"/>
        </w:rPr>
        <w:fldChar w:fldCharType="end"/>
      </w:r>
    </w:p>
    <w:p w14:paraId="31189A26">
      <w:pPr>
        <w:pStyle w:val="29"/>
        <w:keepNext w:val="0"/>
        <w:keepLines w:val="0"/>
        <w:pageBreakBefore w:val="0"/>
        <w:widowControl/>
        <w:tabs>
          <w:tab w:val="right" w:leader="dot" w:pos="8624"/>
        </w:tabs>
        <w:kinsoku/>
        <w:wordWrap/>
        <w:overflowPunct/>
        <w:topLinePunct w:val="0"/>
        <w:autoSpaceDE/>
        <w:autoSpaceDN/>
        <w:bidi w:val="0"/>
        <w:adjustRightInd/>
        <w:snapToGrid/>
        <w:spacing w:line="262" w:lineRule="auto"/>
        <w:ind w:left="480"/>
        <w:textAlignment w:val="auto"/>
        <w:rPr>
          <w:rFonts w:hint="eastAsia"/>
        </w:rPr>
      </w:pPr>
      <w:r>
        <w:fldChar w:fldCharType="begin"/>
      </w:r>
      <w:r>
        <w:instrText xml:space="preserve"> HYPERLINK \l "_Toc239695476" </w:instrText>
      </w:r>
      <w:r>
        <w:fldChar w:fldCharType="separate"/>
      </w:r>
      <w:r>
        <w:rPr>
          <w:rStyle w:val="138"/>
          <w:rFonts w:ascii="黑体" w:hAnsi="黑体" w:eastAsia="黑体"/>
        </w:rPr>
        <w:t>（一）注册登录与身份选择</w:t>
      </w:r>
      <w:r>
        <w:rPr>
          <w:rFonts w:hint="eastAsia"/>
        </w:rPr>
        <w:tab/>
      </w:r>
      <w:r>
        <w:rPr>
          <w:rFonts w:hint="eastAsia"/>
          <w:lang w:val="en-US" w:eastAsia="zh-CN"/>
        </w:rPr>
        <w:t>3</w:t>
      </w:r>
      <w:r>
        <w:rPr>
          <w:rFonts w:hint="eastAsia"/>
        </w:rPr>
        <w:fldChar w:fldCharType="end"/>
      </w:r>
    </w:p>
    <w:p w14:paraId="17DE75DB">
      <w:pPr>
        <w:pStyle w:val="29"/>
        <w:keepNext w:val="0"/>
        <w:keepLines w:val="0"/>
        <w:pageBreakBefore w:val="0"/>
        <w:widowControl/>
        <w:tabs>
          <w:tab w:val="right" w:leader="dot" w:pos="8624"/>
        </w:tabs>
        <w:kinsoku/>
        <w:wordWrap/>
        <w:overflowPunct/>
        <w:topLinePunct w:val="0"/>
        <w:autoSpaceDE/>
        <w:autoSpaceDN/>
        <w:bidi w:val="0"/>
        <w:adjustRightInd/>
        <w:snapToGrid/>
        <w:spacing w:line="262" w:lineRule="auto"/>
        <w:ind w:left="480"/>
        <w:textAlignment w:val="auto"/>
        <w:rPr>
          <w:rFonts w:hint="eastAsia"/>
        </w:rPr>
      </w:pPr>
      <w:r>
        <w:fldChar w:fldCharType="begin"/>
      </w:r>
      <w:r>
        <w:instrText xml:space="preserve"> HYPERLINK \l "_Toc239695477" </w:instrText>
      </w:r>
      <w:r>
        <w:fldChar w:fldCharType="separate"/>
      </w:r>
      <w:r>
        <w:rPr>
          <w:rStyle w:val="138"/>
          <w:rFonts w:ascii="黑体" w:hAnsi="黑体" w:eastAsia="黑体"/>
        </w:rPr>
        <w:t>（二）求职者端-岗位浏览</w:t>
      </w:r>
      <w:r>
        <w:rPr>
          <w:rFonts w:hint="eastAsia"/>
        </w:rPr>
        <w:tab/>
      </w:r>
      <w:r>
        <w:rPr>
          <w:rFonts w:hint="eastAsia"/>
          <w:lang w:val="en-US" w:eastAsia="zh-CN"/>
        </w:rPr>
        <w:t>5</w:t>
      </w:r>
      <w:r>
        <w:rPr>
          <w:rFonts w:hint="eastAsia"/>
        </w:rPr>
        <w:fldChar w:fldCharType="end"/>
      </w:r>
    </w:p>
    <w:p w14:paraId="4C5C0210">
      <w:pPr>
        <w:pStyle w:val="29"/>
        <w:keepNext w:val="0"/>
        <w:keepLines w:val="0"/>
        <w:pageBreakBefore w:val="0"/>
        <w:widowControl/>
        <w:tabs>
          <w:tab w:val="right" w:leader="dot" w:pos="8624"/>
        </w:tabs>
        <w:kinsoku/>
        <w:wordWrap/>
        <w:overflowPunct/>
        <w:topLinePunct w:val="0"/>
        <w:autoSpaceDE/>
        <w:autoSpaceDN/>
        <w:bidi w:val="0"/>
        <w:adjustRightInd/>
        <w:snapToGrid/>
        <w:spacing w:line="262" w:lineRule="auto"/>
        <w:ind w:left="480"/>
        <w:textAlignment w:val="auto"/>
        <w:rPr>
          <w:rFonts w:hint="eastAsia"/>
        </w:rPr>
      </w:pPr>
      <w:r>
        <w:fldChar w:fldCharType="begin"/>
      </w:r>
      <w:r>
        <w:instrText xml:space="preserve"> HYPERLINK \l "_Toc239695478" </w:instrText>
      </w:r>
      <w:r>
        <w:fldChar w:fldCharType="separate"/>
      </w:r>
      <w:r>
        <w:rPr>
          <w:rStyle w:val="138"/>
          <w:rFonts w:ascii="黑体" w:hAnsi="黑体" w:eastAsia="黑体"/>
        </w:rPr>
        <w:t>（三）求职者端-简历与求职进度</w:t>
      </w:r>
      <w:r>
        <w:rPr>
          <w:rFonts w:hint="eastAsia"/>
        </w:rPr>
        <w:tab/>
      </w:r>
      <w:r>
        <w:rPr>
          <w:rFonts w:hint="eastAsia"/>
          <w:lang w:val="en-US" w:eastAsia="zh-CN"/>
        </w:rPr>
        <w:t>8</w:t>
      </w:r>
      <w:r>
        <w:rPr>
          <w:rFonts w:hint="eastAsia"/>
        </w:rPr>
        <w:fldChar w:fldCharType="end"/>
      </w:r>
    </w:p>
    <w:p w14:paraId="00C7FFCD">
      <w:pPr>
        <w:pStyle w:val="29"/>
        <w:keepNext w:val="0"/>
        <w:keepLines w:val="0"/>
        <w:pageBreakBefore w:val="0"/>
        <w:widowControl/>
        <w:tabs>
          <w:tab w:val="right" w:leader="dot" w:pos="8624"/>
        </w:tabs>
        <w:kinsoku/>
        <w:wordWrap/>
        <w:overflowPunct/>
        <w:topLinePunct w:val="0"/>
        <w:autoSpaceDE/>
        <w:autoSpaceDN/>
        <w:bidi w:val="0"/>
        <w:adjustRightInd/>
        <w:snapToGrid/>
        <w:spacing w:line="262" w:lineRule="auto"/>
        <w:ind w:left="480"/>
        <w:textAlignment w:val="auto"/>
        <w:rPr>
          <w:rFonts w:hint="eastAsia" w:eastAsia="宋体"/>
          <w:lang w:val="en-US" w:eastAsia="zh-CN"/>
        </w:rPr>
      </w:pPr>
      <w:r>
        <w:fldChar w:fldCharType="begin"/>
      </w:r>
      <w:r>
        <w:instrText xml:space="preserve"> HYPERLINK \l "_Toc239695479" </w:instrText>
      </w:r>
      <w:r>
        <w:fldChar w:fldCharType="separate"/>
      </w:r>
      <w:r>
        <w:rPr>
          <w:rStyle w:val="138"/>
          <w:rFonts w:ascii="黑体" w:hAnsi="黑体" w:eastAsia="黑体"/>
        </w:rPr>
        <w:t>（四）求职者端-测评与竞争力分析</w:t>
      </w:r>
      <w:r>
        <w:rPr>
          <w:rFonts w:hint="eastAsia"/>
        </w:rPr>
        <w:tab/>
      </w:r>
      <w:r>
        <w:rPr>
          <w:rFonts w:hint="eastAsia"/>
          <w:lang w:val="en-US" w:eastAsia="zh-CN"/>
        </w:rPr>
        <w:t>1</w:t>
      </w:r>
      <w:r>
        <w:rPr>
          <w:rFonts w:hint="eastAsia"/>
        </w:rPr>
        <w:fldChar w:fldCharType="end"/>
      </w:r>
      <w:r>
        <w:rPr>
          <w:rFonts w:hint="eastAsia"/>
          <w:lang w:val="en-US" w:eastAsia="zh-CN"/>
        </w:rPr>
        <w:t>3</w:t>
      </w:r>
    </w:p>
    <w:p w14:paraId="13AD02BD">
      <w:pPr>
        <w:pStyle w:val="29"/>
        <w:keepNext w:val="0"/>
        <w:keepLines w:val="0"/>
        <w:pageBreakBefore w:val="0"/>
        <w:widowControl/>
        <w:tabs>
          <w:tab w:val="right" w:leader="dot" w:pos="8624"/>
        </w:tabs>
        <w:kinsoku/>
        <w:wordWrap/>
        <w:overflowPunct/>
        <w:topLinePunct w:val="0"/>
        <w:autoSpaceDE/>
        <w:autoSpaceDN/>
        <w:bidi w:val="0"/>
        <w:adjustRightInd/>
        <w:snapToGrid/>
        <w:spacing w:line="262" w:lineRule="auto"/>
        <w:ind w:left="480"/>
        <w:textAlignment w:val="auto"/>
        <w:rPr>
          <w:rFonts w:hint="eastAsia" w:eastAsia="宋体"/>
          <w:lang w:val="en-US" w:eastAsia="zh-CN"/>
        </w:rPr>
      </w:pPr>
      <w:r>
        <w:fldChar w:fldCharType="begin"/>
      </w:r>
      <w:r>
        <w:instrText xml:space="preserve"> HYPERLINK \l "_Toc239695480" </w:instrText>
      </w:r>
      <w:r>
        <w:fldChar w:fldCharType="separate"/>
      </w:r>
      <w:r>
        <w:rPr>
          <w:rStyle w:val="138"/>
          <w:rFonts w:ascii="黑体" w:hAnsi="黑体" w:eastAsia="黑体"/>
        </w:rPr>
        <w:t>（五）求职者端-AI能力</w:t>
      </w:r>
      <w:r>
        <w:rPr>
          <w:rFonts w:hint="eastAsia"/>
        </w:rPr>
        <w:tab/>
      </w:r>
      <w:r>
        <w:rPr>
          <w:rFonts w:hint="eastAsia"/>
          <w:lang w:val="en-US" w:eastAsia="zh-CN"/>
        </w:rPr>
        <w:t>2</w:t>
      </w:r>
      <w:r>
        <w:rPr>
          <w:rFonts w:hint="eastAsia"/>
        </w:rPr>
        <w:fldChar w:fldCharType="end"/>
      </w:r>
      <w:r>
        <w:rPr>
          <w:rFonts w:hint="eastAsia"/>
          <w:lang w:val="en-US" w:eastAsia="zh-CN"/>
        </w:rPr>
        <w:t>0</w:t>
      </w:r>
    </w:p>
    <w:p w14:paraId="6F4EC707">
      <w:pPr>
        <w:pStyle w:val="29"/>
        <w:keepNext w:val="0"/>
        <w:keepLines w:val="0"/>
        <w:pageBreakBefore w:val="0"/>
        <w:widowControl/>
        <w:tabs>
          <w:tab w:val="right" w:leader="dot" w:pos="8624"/>
        </w:tabs>
        <w:kinsoku/>
        <w:wordWrap/>
        <w:overflowPunct/>
        <w:topLinePunct w:val="0"/>
        <w:autoSpaceDE/>
        <w:autoSpaceDN/>
        <w:bidi w:val="0"/>
        <w:adjustRightInd/>
        <w:snapToGrid/>
        <w:spacing w:line="262" w:lineRule="auto"/>
        <w:ind w:left="480"/>
        <w:textAlignment w:val="auto"/>
        <w:rPr>
          <w:rFonts w:hint="eastAsia" w:eastAsia="宋体"/>
          <w:lang w:val="en-US" w:eastAsia="zh-CN"/>
        </w:rPr>
      </w:pPr>
      <w:r>
        <w:fldChar w:fldCharType="begin"/>
      </w:r>
      <w:r>
        <w:instrText xml:space="preserve"> HYPERLINK \l "_Toc239695481" </w:instrText>
      </w:r>
      <w:r>
        <w:fldChar w:fldCharType="separate"/>
      </w:r>
      <w:r>
        <w:rPr>
          <w:rStyle w:val="138"/>
          <w:rFonts w:ascii="黑体" w:hAnsi="黑体" w:eastAsia="黑体"/>
        </w:rPr>
        <w:t>（六）企业端-岗位与人才</w:t>
      </w:r>
      <w:r>
        <w:rPr>
          <w:rFonts w:hint="eastAsia"/>
        </w:rPr>
        <w:tab/>
      </w:r>
      <w:r>
        <w:rPr>
          <w:rFonts w:hint="eastAsia"/>
          <w:lang w:val="en-US" w:eastAsia="zh-CN"/>
        </w:rPr>
        <w:t>2</w:t>
      </w:r>
      <w:r>
        <w:rPr>
          <w:rFonts w:hint="eastAsia"/>
        </w:rPr>
        <w:fldChar w:fldCharType="end"/>
      </w:r>
      <w:r>
        <w:rPr>
          <w:rFonts w:hint="eastAsia"/>
          <w:lang w:val="en-US" w:eastAsia="zh-CN"/>
        </w:rPr>
        <w:t>2</w:t>
      </w:r>
    </w:p>
    <w:p w14:paraId="3C364FFE">
      <w:pPr>
        <w:pStyle w:val="29"/>
        <w:keepNext w:val="0"/>
        <w:keepLines w:val="0"/>
        <w:pageBreakBefore w:val="0"/>
        <w:widowControl/>
        <w:tabs>
          <w:tab w:val="right" w:leader="dot" w:pos="8624"/>
        </w:tabs>
        <w:kinsoku/>
        <w:wordWrap/>
        <w:overflowPunct/>
        <w:topLinePunct w:val="0"/>
        <w:autoSpaceDE/>
        <w:autoSpaceDN/>
        <w:bidi w:val="0"/>
        <w:adjustRightInd/>
        <w:snapToGrid/>
        <w:spacing w:line="262" w:lineRule="auto"/>
        <w:ind w:left="480"/>
        <w:textAlignment w:val="auto"/>
        <w:rPr>
          <w:rFonts w:hint="eastAsia" w:eastAsia="宋体"/>
          <w:lang w:val="en-US" w:eastAsia="zh-CN"/>
        </w:rPr>
      </w:pPr>
      <w:r>
        <w:fldChar w:fldCharType="begin"/>
      </w:r>
      <w:r>
        <w:instrText xml:space="preserve"> HYPERLINK \l "_Toc239695482" </w:instrText>
      </w:r>
      <w:r>
        <w:fldChar w:fldCharType="separate"/>
      </w:r>
      <w:r>
        <w:rPr>
          <w:rStyle w:val="138"/>
          <w:rFonts w:ascii="黑体" w:hAnsi="黑体" w:eastAsia="黑体"/>
        </w:rPr>
        <w:t>（七）企业端-候选人与沟通</w:t>
      </w:r>
      <w:r>
        <w:rPr>
          <w:rFonts w:hint="eastAsia"/>
        </w:rPr>
        <w:tab/>
      </w:r>
      <w:r>
        <w:rPr>
          <w:rFonts w:hint="eastAsia"/>
          <w:lang w:val="en-US" w:eastAsia="zh-CN"/>
        </w:rPr>
        <w:t>2</w:t>
      </w:r>
      <w:r>
        <w:rPr>
          <w:rFonts w:hint="eastAsia"/>
        </w:rPr>
        <w:fldChar w:fldCharType="end"/>
      </w:r>
      <w:r>
        <w:rPr>
          <w:rFonts w:hint="eastAsia"/>
          <w:lang w:val="en-US" w:eastAsia="zh-CN"/>
        </w:rPr>
        <w:t>6</w:t>
      </w:r>
    </w:p>
    <w:p w14:paraId="0AA7897C">
      <w:pPr>
        <w:pStyle w:val="29"/>
        <w:keepNext w:val="0"/>
        <w:keepLines w:val="0"/>
        <w:pageBreakBefore w:val="0"/>
        <w:widowControl/>
        <w:tabs>
          <w:tab w:val="right" w:leader="dot" w:pos="8624"/>
        </w:tabs>
        <w:kinsoku/>
        <w:wordWrap/>
        <w:overflowPunct/>
        <w:topLinePunct w:val="0"/>
        <w:autoSpaceDE/>
        <w:autoSpaceDN/>
        <w:bidi w:val="0"/>
        <w:adjustRightInd/>
        <w:snapToGrid/>
        <w:spacing w:line="262" w:lineRule="auto"/>
        <w:ind w:left="480"/>
        <w:textAlignment w:val="auto"/>
        <w:rPr>
          <w:rFonts w:hint="eastAsia" w:eastAsia="宋体"/>
          <w:lang w:val="en-US" w:eastAsia="zh-CN"/>
        </w:rPr>
      </w:pPr>
      <w:r>
        <w:fldChar w:fldCharType="begin"/>
      </w:r>
      <w:r>
        <w:instrText xml:space="preserve"> HYPERLINK \l "_Toc239695483" </w:instrText>
      </w:r>
      <w:r>
        <w:fldChar w:fldCharType="separate"/>
      </w:r>
      <w:r>
        <w:rPr>
          <w:rStyle w:val="138"/>
          <w:rFonts w:ascii="黑体" w:hAnsi="黑体" w:eastAsia="黑体"/>
        </w:rPr>
        <w:t>（八）企业端-评价与防刷审计</w:t>
      </w:r>
      <w:r>
        <w:rPr>
          <w:rFonts w:hint="eastAsia"/>
        </w:rPr>
        <w:tab/>
      </w:r>
      <w:r>
        <w:rPr>
          <w:rFonts w:hint="eastAsia"/>
          <w:lang w:val="en-US" w:eastAsia="zh-CN"/>
        </w:rPr>
        <w:t>3</w:t>
      </w:r>
      <w:r>
        <w:rPr>
          <w:rFonts w:hint="eastAsia"/>
        </w:rPr>
        <w:fldChar w:fldCharType="end"/>
      </w:r>
      <w:r>
        <w:rPr>
          <w:rFonts w:hint="eastAsia"/>
          <w:lang w:val="en-US" w:eastAsia="zh-CN"/>
        </w:rPr>
        <w:t>1</w:t>
      </w:r>
    </w:p>
    <w:p w14:paraId="58521517">
      <w:pPr>
        <w:pStyle w:val="29"/>
        <w:keepNext w:val="0"/>
        <w:keepLines w:val="0"/>
        <w:pageBreakBefore w:val="0"/>
        <w:widowControl/>
        <w:tabs>
          <w:tab w:val="right" w:leader="dot" w:pos="8624"/>
        </w:tabs>
        <w:kinsoku/>
        <w:wordWrap/>
        <w:overflowPunct/>
        <w:topLinePunct w:val="0"/>
        <w:autoSpaceDE/>
        <w:autoSpaceDN/>
        <w:bidi w:val="0"/>
        <w:adjustRightInd/>
        <w:snapToGrid/>
        <w:spacing w:line="262" w:lineRule="auto"/>
        <w:ind w:left="480"/>
        <w:textAlignment w:val="auto"/>
        <w:rPr>
          <w:rFonts w:hint="eastAsia" w:eastAsia="宋体"/>
          <w:lang w:val="en-US" w:eastAsia="zh-CN"/>
        </w:rPr>
      </w:pPr>
      <w:r>
        <w:fldChar w:fldCharType="begin"/>
      </w:r>
      <w:r>
        <w:instrText xml:space="preserve"> HYPERLINK \l "_Toc239695484" </w:instrText>
      </w:r>
      <w:r>
        <w:fldChar w:fldCharType="separate"/>
      </w:r>
      <w:r>
        <w:rPr>
          <w:rStyle w:val="138"/>
          <w:rFonts w:ascii="黑体" w:hAnsi="黑体" w:eastAsia="黑体"/>
        </w:rPr>
        <w:t>（九）通用-我的与隐私设置</w:t>
      </w:r>
      <w:r>
        <w:rPr>
          <w:rFonts w:hint="eastAsia"/>
        </w:rPr>
        <w:tab/>
      </w:r>
      <w:r>
        <w:rPr>
          <w:rFonts w:hint="eastAsia"/>
          <w:lang w:val="en-US" w:eastAsia="zh-CN"/>
        </w:rPr>
        <w:t>3</w:t>
      </w:r>
      <w:r>
        <w:rPr>
          <w:rFonts w:hint="eastAsia"/>
        </w:rPr>
        <w:fldChar w:fldCharType="end"/>
      </w:r>
      <w:r>
        <w:rPr>
          <w:rFonts w:hint="eastAsia"/>
          <w:lang w:val="en-US" w:eastAsia="zh-CN"/>
        </w:rPr>
        <w:t>4</w:t>
      </w:r>
    </w:p>
    <w:p w14:paraId="5FFFF24A">
      <w:pPr>
        <w:pStyle w:val="26"/>
        <w:keepNext w:val="0"/>
        <w:keepLines w:val="0"/>
        <w:pageBreakBefore w:val="0"/>
        <w:widowControl/>
        <w:tabs>
          <w:tab w:val="right" w:leader="dot" w:pos="8624"/>
        </w:tabs>
        <w:kinsoku/>
        <w:wordWrap/>
        <w:overflowPunct/>
        <w:topLinePunct w:val="0"/>
        <w:autoSpaceDE/>
        <w:autoSpaceDN/>
        <w:bidi w:val="0"/>
        <w:adjustRightInd/>
        <w:snapToGrid/>
        <w:spacing w:line="262" w:lineRule="auto"/>
        <w:textAlignment w:val="auto"/>
        <w:rPr>
          <w:rFonts w:hint="eastAsia" w:eastAsia="宋体"/>
          <w:lang w:val="en-US" w:eastAsia="zh-CN"/>
        </w:rPr>
      </w:pPr>
      <w:r>
        <w:fldChar w:fldCharType="begin"/>
      </w:r>
      <w:r>
        <w:instrText xml:space="preserve"> HYPERLINK \l "_Toc239695485" </w:instrText>
      </w:r>
      <w:r>
        <w:fldChar w:fldCharType="separate"/>
      </w:r>
      <w:r>
        <w:rPr>
          <w:rStyle w:val="138"/>
          <w:rFonts w:ascii="黑体" w:hAnsi="黑体" w:eastAsia="黑体"/>
        </w:rPr>
        <w:t>六、软件</w:t>
      </w:r>
      <w:r>
        <w:rPr>
          <w:rStyle w:val="138"/>
          <w:rFonts w:hint="eastAsia" w:ascii="黑体" w:hAnsi="黑体" w:eastAsia="黑体"/>
          <w:lang w:val="en-US" w:eastAsia="zh-CN"/>
        </w:rPr>
        <w:t>结束</w:t>
      </w:r>
      <w:r>
        <w:rPr>
          <w:rFonts w:hint="eastAsia"/>
        </w:rPr>
        <w:tab/>
      </w:r>
      <w:r>
        <w:rPr>
          <w:rFonts w:hint="eastAsia"/>
          <w:lang w:val="en-US" w:eastAsia="zh-CN"/>
        </w:rPr>
        <w:t>3</w:t>
      </w:r>
      <w:r>
        <w:rPr>
          <w:rFonts w:hint="eastAsia"/>
        </w:rPr>
        <w:fldChar w:fldCharType="end"/>
      </w:r>
      <w:r>
        <w:rPr>
          <w:rFonts w:hint="eastAsia"/>
          <w:lang w:val="en-US" w:eastAsia="zh-CN"/>
        </w:rPr>
        <w:t>7</w:t>
      </w:r>
    </w:p>
    <w:p w14:paraId="45EBD6A6">
      <w:pPr>
        <w:pStyle w:val="26"/>
        <w:keepNext w:val="0"/>
        <w:keepLines w:val="0"/>
        <w:pageBreakBefore w:val="0"/>
        <w:widowControl/>
        <w:tabs>
          <w:tab w:val="right" w:leader="dot" w:pos="8624"/>
        </w:tabs>
        <w:kinsoku/>
        <w:wordWrap/>
        <w:overflowPunct/>
        <w:topLinePunct w:val="0"/>
        <w:autoSpaceDE/>
        <w:autoSpaceDN/>
        <w:bidi w:val="0"/>
        <w:adjustRightInd/>
        <w:snapToGrid/>
        <w:spacing w:line="262" w:lineRule="auto"/>
        <w:textAlignment w:val="auto"/>
        <w:rPr>
          <w:rFonts w:hint="eastAsia" w:eastAsia="宋体"/>
          <w:lang w:val="en-US" w:eastAsia="zh-CN"/>
        </w:rPr>
      </w:pPr>
      <w:r>
        <w:fldChar w:fldCharType="begin"/>
      </w:r>
      <w:r>
        <w:instrText xml:space="preserve"> HYPERLINK \l "_Toc239695492" </w:instrText>
      </w:r>
      <w:r>
        <w:fldChar w:fldCharType="separate"/>
      </w:r>
      <w:r>
        <w:rPr>
          <w:rStyle w:val="138"/>
          <w:rFonts w:ascii="黑体" w:hAnsi="黑体" w:eastAsia="黑体"/>
        </w:rPr>
        <w:t>七、</w:t>
      </w:r>
      <w:r>
        <w:rPr>
          <w:rStyle w:val="138"/>
          <w:rFonts w:hint="eastAsia" w:ascii="黑体" w:hAnsi="黑体" w:eastAsia="黑体"/>
          <w:lang w:val="en-US" w:eastAsia="zh-CN"/>
        </w:rPr>
        <w:t>其他功能</w:t>
      </w:r>
      <w:r>
        <w:rPr>
          <w:rFonts w:hint="eastAsia"/>
        </w:rPr>
        <w:tab/>
      </w:r>
      <w:r>
        <w:rPr>
          <w:rFonts w:hint="eastAsia"/>
          <w:lang w:val="en-US" w:eastAsia="zh-CN"/>
        </w:rPr>
        <w:t>3</w:t>
      </w:r>
      <w:r>
        <w:rPr>
          <w:rFonts w:hint="eastAsia"/>
        </w:rPr>
        <w:fldChar w:fldCharType="end"/>
      </w:r>
      <w:r>
        <w:rPr>
          <w:rFonts w:hint="eastAsia"/>
          <w:lang w:val="en-US" w:eastAsia="zh-CN"/>
        </w:rPr>
        <w:t>7</w:t>
      </w:r>
    </w:p>
    <w:p w14:paraId="22979B37">
      <w:pPr>
        <w:keepNext w:val="0"/>
        <w:keepLines w:val="0"/>
        <w:pageBreakBefore w:val="0"/>
        <w:widowControl/>
        <w:kinsoku/>
        <w:wordWrap/>
        <w:overflowPunct/>
        <w:topLinePunct w:val="0"/>
        <w:autoSpaceDE/>
        <w:autoSpaceDN/>
        <w:bidi w:val="0"/>
        <w:adjustRightInd/>
        <w:snapToGrid/>
        <w:spacing w:line="262" w:lineRule="auto"/>
        <w:textAlignment w:val="auto"/>
        <w:sectPr>
          <w:footerReference r:id="rId7" w:type="default"/>
          <w:pgSz w:w="12240" w:h="15840"/>
          <w:pgMar w:top="1440" w:right="1803" w:bottom="1440" w:left="1803" w:header="720" w:footer="720" w:gutter="0"/>
          <w:pgNumType w:fmt="decimalFullWidth" w:start="1"/>
          <w:cols w:space="720" w:num="1"/>
          <w:docGrid w:linePitch="360" w:charSpace="0"/>
        </w:sectPr>
      </w:pPr>
    </w:p>
    <w:p w14:paraId="7931B64D">
      <w:pPr>
        <w:keepNext w:val="0"/>
        <w:keepLines w:val="0"/>
        <w:pageBreakBefore w:val="0"/>
        <w:widowControl/>
        <w:kinsoku/>
        <w:wordWrap/>
        <w:overflowPunct/>
        <w:topLinePunct w:val="0"/>
        <w:autoSpaceDE/>
        <w:autoSpaceDN/>
        <w:bidi w:val="0"/>
        <w:adjustRightInd/>
        <w:snapToGrid/>
        <w:spacing w:line="262" w:lineRule="auto"/>
        <w:textAlignment w:val="auto"/>
        <w:rPr>
          <w:rFonts w:ascii="黑体" w:hAnsi="黑体" w:eastAsia="黑体" w:cstheme="majorBidi"/>
          <w:b/>
          <w:bCs/>
          <w:color w:val="auto"/>
          <w:sz w:val="32"/>
          <w:szCs w:val="28"/>
          <w:lang w:val="en-US" w:eastAsia="en-US" w:bidi="ar-SA"/>
        </w:rPr>
      </w:pPr>
      <w:r>
        <w:fldChar w:fldCharType="end"/>
      </w:r>
      <w:bookmarkStart w:id="0" w:name="_Toc239695471"/>
      <w:r>
        <w:rPr>
          <w:rFonts w:ascii="黑体" w:hAnsi="黑体" w:eastAsia="黑体" w:cstheme="majorBidi"/>
          <w:b/>
          <w:bCs/>
          <w:color w:val="auto"/>
          <w:sz w:val="32"/>
          <w:szCs w:val="28"/>
          <w:lang w:val="en-US" w:eastAsia="en-US" w:bidi="ar-SA"/>
        </w:rPr>
        <w:t>一、总体功能描述</w:t>
      </w:r>
      <w:bookmarkEnd w:id="0"/>
    </w:p>
    <w:p w14:paraId="032B9260">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rPr>
      </w:pPr>
      <w:r>
        <w:rPr>
          <w:rFonts w:hint="eastAsia"/>
        </w:rPr>
        <w:t>轻松聘</w:t>
      </w:r>
      <w:r>
        <w:t>是一款面向高校求职者与企业HR的</w:t>
      </w:r>
      <w:r>
        <w:rPr>
          <w:rFonts w:hint="eastAsia"/>
        </w:rPr>
        <w:t>智能招聘求职服务APP</w:t>
      </w:r>
      <w:r>
        <w:t>，针对当前校园招聘中信息不对称、双向匹配低效、简历筛选困难、面试评价不透明、入职流程零散等痛点，提供从注册登录、身份选择、岗位发布与浏览、四维能力测评、双向匹配、在线沟通、面试管理、Offer发放与对比、入职准备清单到企业认证、人才推荐、候选人评分卡、岗位评价管理、防刷审计的全流程一体化解决方案。</w:t>
      </w:r>
    </w:p>
    <w:p w14:paraId="399B1DA7">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eastAsia="宋体"/>
          <w:lang w:eastAsia="zh-CN"/>
        </w:rPr>
      </w:pPr>
      <w:r>
        <w:t>本软件的目标用户分为</w:t>
      </w:r>
      <w:r>
        <w:rPr>
          <w:rFonts w:hint="eastAsia"/>
          <w:lang w:val="en-US" w:eastAsia="zh-CN"/>
        </w:rPr>
        <w:t>两类</w:t>
      </w:r>
      <w:r>
        <w:t>：一是高校求职者（</w:t>
      </w:r>
      <w:r>
        <w:rPr>
          <w:rFonts w:hint="eastAsia"/>
          <w:lang w:val="en-US" w:eastAsia="zh-CN"/>
        </w:rPr>
        <w:t>求职者</w:t>
      </w:r>
      <w:r>
        <w:t>端），用于浏览岗位、管理简历与求职进度、参与能力测评与竞争力分析、使用AI模拟面试与简历优化、与企业HR在线沟通、接收面试邀请与Offer、对比多个Offer并完成入职准备；二是企业HR（企业端），用于完成企业实名认证、发布与管理岗位、查看</w:t>
      </w:r>
      <w:r>
        <w:rPr>
          <w:rFonts w:hint="eastAsia"/>
          <w:lang w:val="en-US" w:eastAsia="zh-CN"/>
        </w:rPr>
        <w:t>软件</w:t>
      </w:r>
      <w:r>
        <w:t>推荐的人才、查看候选人详情、安排面试与评分、发放与管理Offer、管理岗位评价与候选人反馈、查看防刷审计报告与配置运营规则</w:t>
      </w:r>
      <w:r>
        <w:rPr>
          <w:rFonts w:hint="eastAsia"/>
          <w:lang w:eastAsia="zh-CN"/>
        </w:rPr>
        <w:t>。</w:t>
      </w:r>
    </w:p>
    <w:p w14:paraId="0ECD7307">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rPr>
      </w:pPr>
      <w:r>
        <w:t>用户的核心使用流程为：完成注册与登录后选择求职者或企业身份；求职者端用户在首页浏览推荐岗位、在岗位列表中筛选并查看岗位详情、参与四维能力与霍兰德职业兴趣测评、生成候选人评分卡与竞争力排名、在线与HR沟通、接收面试邀请并完成面试评分、对比多个Offer并使用薪资计算器与入职准备清单完成入职准备；企业端用户在完成企业认证后发布与管理岗位、查看</w:t>
      </w:r>
      <w:r>
        <w:rPr>
          <w:rFonts w:hint="eastAsia"/>
          <w:lang w:val="en-US" w:eastAsia="zh-CN"/>
        </w:rPr>
        <w:t>软件</w:t>
      </w:r>
      <w:r>
        <w:t>基于双向匹配规则推荐的人才、查看候选人详情与评分卡、安排面试并完成面试评分、发放与管理Offer、管理岗位评价并查看防刷审计报告。</w:t>
      </w:r>
    </w:p>
    <w:p w14:paraId="7AC29879">
      <w:pPr>
        <w:pStyle w:val="3"/>
        <w:numPr>
          <w:ilvl w:val="0"/>
          <w:numId w:val="7"/>
        </w:numPr>
        <w:spacing w:before="240" w:after="120" w:line="240" w:lineRule="auto"/>
        <w:rPr>
          <w:rFonts w:ascii="黑体" w:hAnsi="黑体" w:eastAsia="黑体"/>
          <w:color w:val="auto"/>
          <w:sz w:val="32"/>
        </w:rPr>
      </w:pPr>
      <w:bookmarkStart w:id="1" w:name="_Ref30089"/>
      <w:bookmarkStart w:id="2" w:name="_Toc239695472"/>
      <w:r>
        <w:rPr>
          <w:rFonts w:ascii="黑体" w:hAnsi="黑体" w:eastAsia="黑体"/>
          <w:color w:val="auto"/>
          <w:sz w:val="32"/>
        </w:rPr>
        <w:t>运行环境</w:t>
      </w:r>
      <w:bookmarkEnd w:id="1"/>
      <w:bookmarkEnd w:id="2"/>
    </w:p>
    <w:tbl>
      <w:tblPr>
        <w:tblStyle w:val="168"/>
        <w:tblW w:w="0" w:type="auto"/>
        <w:jc w:val="center"/>
        <w:tblBorders>
          <w:top w:val="single" w:color="8C8C8C" w:sz="4" w:space="0"/>
          <w:left w:val="single" w:color="8C8C8C" w:sz="4" w:space="0"/>
          <w:bottom w:val="single" w:color="8C8C8C" w:sz="4" w:space="0"/>
          <w:right w:val="single" w:color="8C8C8C" w:sz="4" w:space="0"/>
          <w:insideH w:val="single" w:color="8C8C8C" w:sz="4" w:space="0"/>
          <w:insideV w:val="single" w:color="8C8C8C" w:sz="4" w:space="0"/>
        </w:tblBorders>
        <w:tblLayout w:type="autofit"/>
        <w:tblCellMar>
          <w:top w:w="0" w:type="dxa"/>
          <w:left w:w="0" w:type="dxa"/>
          <w:bottom w:w="0" w:type="dxa"/>
          <w:right w:w="0" w:type="dxa"/>
        </w:tblCellMar>
      </w:tblPr>
      <w:tblGrid>
        <w:gridCol w:w="4150"/>
        <w:gridCol w:w="4150"/>
      </w:tblGrid>
      <w:tr w14:paraId="5B734DFC">
        <w:tblPrEx>
          <w:tblBorders>
            <w:top w:val="single" w:color="8C8C8C" w:sz="4" w:space="0"/>
            <w:left w:val="single" w:color="8C8C8C" w:sz="4" w:space="0"/>
            <w:bottom w:val="single" w:color="8C8C8C" w:sz="4" w:space="0"/>
            <w:right w:val="single" w:color="8C8C8C" w:sz="4" w:space="0"/>
            <w:insideH w:val="single" w:color="8C8C8C" w:sz="4" w:space="0"/>
            <w:insideV w:val="single" w:color="8C8C8C" w:sz="4" w:space="0"/>
          </w:tblBorders>
          <w:tblCellMar>
            <w:top w:w="0" w:type="dxa"/>
            <w:left w:w="0" w:type="dxa"/>
            <w:bottom w:w="0" w:type="dxa"/>
            <w:right w:w="0" w:type="dxa"/>
          </w:tblCellMar>
        </w:tblPrEx>
        <w:trPr>
          <w:trHeight w:val="527" w:hRule="atLeast"/>
          <w:jc w:val="center"/>
        </w:trPr>
        <w:tc>
          <w:tcPr>
            <w:tcW w:w="4150" w:type="dxa"/>
          </w:tcPr>
          <w:p w14:paraId="33CA064D">
            <w:pPr>
              <w:spacing w:after="60"/>
              <w:ind w:firstLine="482"/>
              <w:jc w:val="center"/>
              <w:rPr>
                <w:rFonts w:hint="eastAsia"/>
              </w:rPr>
            </w:pPr>
            <w:r>
              <w:rPr>
                <w:b/>
              </w:rPr>
              <w:t>项目</w:t>
            </w:r>
          </w:p>
        </w:tc>
        <w:tc>
          <w:tcPr>
            <w:tcW w:w="4150" w:type="dxa"/>
          </w:tcPr>
          <w:p w14:paraId="68608FA3">
            <w:pPr>
              <w:spacing w:after="60"/>
              <w:ind w:firstLine="482"/>
              <w:rPr>
                <w:rFonts w:hint="eastAsia"/>
              </w:rPr>
            </w:pPr>
            <w:r>
              <w:rPr>
                <w:b/>
              </w:rPr>
              <w:t>基本要求</w:t>
            </w:r>
          </w:p>
        </w:tc>
      </w:tr>
      <w:tr w14:paraId="139DA3E3">
        <w:tblPrEx>
          <w:tblBorders>
            <w:top w:val="single" w:color="8C8C8C" w:sz="4" w:space="0"/>
            <w:left w:val="single" w:color="8C8C8C" w:sz="4" w:space="0"/>
            <w:bottom w:val="single" w:color="8C8C8C" w:sz="4" w:space="0"/>
            <w:right w:val="single" w:color="8C8C8C" w:sz="4" w:space="0"/>
            <w:insideH w:val="single" w:color="8C8C8C" w:sz="4" w:space="0"/>
            <w:insideV w:val="single" w:color="8C8C8C" w:sz="4" w:space="0"/>
          </w:tblBorders>
          <w:tblCellMar>
            <w:top w:w="0" w:type="dxa"/>
            <w:left w:w="0" w:type="dxa"/>
            <w:bottom w:w="0" w:type="dxa"/>
            <w:right w:w="0" w:type="dxa"/>
          </w:tblCellMar>
        </w:tblPrEx>
        <w:trPr>
          <w:jc w:val="center"/>
        </w:trPr>
        <w:tc>
          <w:tcPr>
            <w:tcW w:w="4150" w:type="dxa"/>
          </w:tcPr>
          <w:p w14:paraId="71839A5B">
            <w:pPr>
              <w:spacing w:after="60"/>
              <w:ind w:firstLine="480"/>
              <w:jc w:val="center"/>
              <w:rPr>
                <w:rFonts w:hint="eastAsia"/>
              </w:rPr>
            </w:pPr>
            <w:r>
              <w:t>开发该软件的操作系统</w:t>
            </w:r>
          </w:p>
        </w:tc>
        <w:tc>
          <w:tcPr>
            <w:tcW w:w="4150" w:type="dxa"/>
          </w:tcPr>
          <w:p w14:paraId="60C57EC8">
            <w:pPr>
              <w:spacing w:after="60"/>
              <w:rPr>
                <w:rFonts w:hint="eastAsia"/>
              </w:rPr>
            </w:pPr>
            <w:r>
              <w:t>Windows</w:t>
            </w:r>
            <w:r>
              <w:rPr>
                <w:rFonts w:hint="eastAsia"/>
              </w:rPr>
              <w:t>11</w:t>
            </w:r>
          </w:p>
        </w:tc>
      </w:tr>
      <w:tr w14:paraId="2449206F">
        <w:tblPrEx>
          <w:tblBorders>
            <w:top w:val="single" w:color="8C8C8C" w:sz="4" w:space="0"/>
            <w:left w:val="single" w:color="8C8C8C" w:sz="4" w:space="0"/>
            <w:bottom w:val="single" w:color="8C8C8C" w:sz="4" w:space="0"/>
            <w:right w:val="single" w:color="8C8C8C" w:sz="4" w:space="0"/>
            <w:insideH w:val="single" w:color="8C8C8C" w:sz="4" w:space="0"/>
            <w:insideV w:val="single" w:color="8C8C8C" w:sz="4" w:space="0"/>
          </w:tblBorders>
          <w:tblCellMar>
            <w:top w:w="0" w:type="dxa"/>
            <w:left w:w="0" w:type="dxa"/>
            <w:bottom w:w="0" w:type="dxa"/>
            <w:right w:w="0" w:type="dxa"/>
          </w:tblCellMar>
        </w:tblPrEx>
        <w:trPr>
          <w:jc w:val="center"/>
        </w:trPr>
        <w:tc>
          <w:tcPr>
            <w:tcW w:w="4150" w:type="dxa"/>
          </w:tcPr>
          <w:p w14:paraId="21A4FE27">
            <w:pPr>
              <w:spacing w:after="60"/>
              <w:ind w:firstLine="480"/>
              <w:jc w:val="center"/>
              <w:rPr>
                <w:rFonts w:hint="eastAsia"/>
              </w:rPr>
            </w:pPr>
            <w:r>
              <w:t>软件开发环境/开发工具</w:t>
            </w:r>
          </w:p>
        </w:tc>
        <w:tc>
          <w:tcPr>
            <w:tcW w:w="4150" w:type="dxa"/>
          </w:tcPr>
          <w:p w14:paraId="00D7C3B9">
            <w:pPr>
              <w:keepNext w:val="0"/>
              <w:keepLines w:val="0"/>
              <w:widowControl/>
              <w:suppressLineNumbers w:val="0"/>
              <w:jc w:val="left"/>
              <w:rPr>
                <w:rFonts w:hint="eastAsia"/>
              </w:rPr>
            </w:pPr>
            <w:r>
              <w:rPr>
                <w:rFonts w:hint="eastAsia" w:ascii="宋体" w:hAnsi="宋体" w:eastAsia="宋体" w:cs="宋体"/>
                <w:kern w:val="0"/>
                <w:sz w:val="24"/>
                <w:szCs w:val="24"/>
                <w:lang w:val="en-US" w:eastAsia="zh-CN" w:bidi="ar"/>
              </w:rPr>
              <w:t>JDK17、SpringBoot3.5.16；依赖组件：jwt0.12.6、MySQL8.0+、Redis6.x+、RabbitMQ3.x+、Flyway8.5.13、SpringDoc2.8.13、Lombok1.18.x、Testcontainers1.21.3</w:t>
            </w:r>
          </w:p>
        </w:tc>
      </w:tr>
      <w:tr w14:paraId="59747251">
        <w:tblPrEx>
          <w:tblBorders>
            <w:top w:val="single" w:color="8C8C8C" w:sz="4" w:space="0"/>
            <w:left w:val="single" w:color="8C8C8C" w:sz="4" w:space="0"/>
            <w:bottom w:val="single" w:color="8C8C8C" w:sz="4" w:space="0"/>
            <w:right w:val="single" w:color="8C8C8C" w:sz="4" w:space="0"/>
            <w:insideH w:val="single" w:color="8C8C8C" w:sz="4" w:space="0"/>
            <w:insideV w:val="single" w:color="8C8C8C" w:sz="4" w:space="0"/>
          </w:tblBorders>
          <w:tblCellMar>
            <w:top w:w="0" w:type="dxa"/>
            <w:left w:w="0" w:type="dxa"/>
            <w:bottom w:w="0" w:type="dxa"/>
            <w:right w:w="0" w:type="dxa"/>
          </w:tblCellMar>
        </w:tblPrEx>
        <w:trPr>
          <w:jc w:val="center"/>
        </w:trPr>
        <w:tc>
          <w:tcPr>
            <w:tcW w:w="4150" w:type="dxa"/>
          </w:tcPr>
          <w:p w14:paraId="246E1400">
            <w:pPr>
              <w:spacing w:after="60"/>
              <w:ind w:firstLine="480"/>
              <w:jc w:val="center"/>
              <w:rPr>
                <w:rFonts w:hint="eastAsia"/>
              </w:rPr>
            </w:pPr>
            <w:r>
              <w:t>该软件的运行平台/操作系统</w:t>
            </w:r>
          </w:p>
        </w:tc>
        <w:tc>
          <w:tcPr>
            <w:tcW w:w="4150" w:type="dxa"/>
          </w:tcPr>
          <w:p w14:paraId="54C95BC8">
            <w:pPr>
              <w:jc w:val="left"/>
              <w:rPr>
                <w:rFonts w:ascii="宋体" w:hAnsi="宋体" w:eastAsia="宋体" w:cs="宋体"/>
                <w:sz w:val="24"/>
                <w:szCs w:val="24"/>
              </w:rPr>
            </w:pPr>
            <w:r>
              <w:rPr>
                <w:rStyle w:val="136"/>
                <w:rFonts w:ascii="宋体" w:hAnsi="宋体" w:eastAsia="宋体" w:cs="宋体"/>
                <w:kern w:val="0"/>
                <w:sz w:val="24"/>
                <w:szCs w:val="24"/>
                <w:lang w:val="en-US" w:eastAsia="zh-CN" w:bidi="ar"/>
              </w:rPr>
              <w:t>客户端运行平台：</w:t>
            </w:r>
            <w:r>
              <w:rPr>
                <w:rFonts w:ascii="宋体" w:hAnsi="宋体" w:eastAsia="宋体" w:cs="宋体"/>
                <w:sz w:val="24"/>
                <w:szCs w:val="24"/>
              </w:rPr>
              <w:t>Android移动</w:t>
            </w:r>
            <w:r>
              <w:rPr>
                <w:rFonts w:hint="eastAsia" w:ascii="宋体" w:hAnsi="宋体" w:eastAsia="宋体" w:cs="宋体"/>
                <w:sz w:val="24"/>
                <w:szCs w:val="24"/>
                <w:lang w:val="en-US" w:eastAsia="zh-CN"/>
              </w:rPr>
              <w:t>端，</w:t>
            </w:r>
            <w:r>
              <w:rPr>
                <w:rFonts w:hint="eastAsia" w:cs="宋体"/>
                <w:sz w:val="24"/>
                <w:szCs w:val="24"/>
                <w:lang w:val="en-US" w:eastAsia="zh-CN"/>
              </w:rPr>
              <w:t>IOS移动端，</w:t>
            </w:r>
            <w:r>
              <w:rPr>
                <w:rFonts w:ascii="宋体" w:hAnsi="宋体" w:eastAsia="宋体" w:cs="宋体"/>
                <w:sz w:val="24"/>
                <w:szCs w:val="24"/>
              </w:rPr>
              <w:t>minSdk=24</w:t>
            </w:r>
            <w:r>
              <w:rPr>
                <w:rFonts w:hint="eastAsia" w:cs="宋体"/>
                <w:sz w:val="24"/>
                <w:szCs w:val="24"/>
                <w:lang w:eastAsia="zh-CN"/>
              </w:rPr>
              <w:t>，</w:t>
            </w:r>
            <w:r>
              <w:rPr>
                <w:rFonts w:ascii="宋体" w:hAnsi="宋体" w:eastAsia="宋体" w:cs="宋体"/>
                <w:sz w:val="24"/>
                <w:szCs w:val="24"/>
              </w:rPr>
              <w:t>compileSdk/targetSdk=36，buildTools=36.0.0</w:t>
            </w:r>
          </w:p>
          <w:p w14:paraId="22416C65">
            <w:pPr>
              <w:jc w:val="left"/>
              <w:rPr>
                <w:rFonts w:hint="eastAsia"/>
              </w:rPr>
            </w:pPr>
            <w:r>
              <w:rPr>
                <w:rStyle w:val="136"/>
                <w:rFonts w:ascii="宋体" w:hAnsi="宋体" w:eastAsia="宋体" w:cs="宋体"/>
                <w:kern w:val="0"/>
                <w:sz w:val="24"/>
                <w:szCs w:val="24"/>
                <w:lang w:val="en-US" w:eastAsia="zh-CN" w:bidi="ar"/>
              </w:rPr>
              <w:t>服务端运行平台：</w:t>
            </w:r>
            <w:r>
              <w:rPr>
                <w:rFonts w:ascii="宋体" w:hAnsi="宋体" w:eastAsia="宋体" w:cs="宋体"/>
                <w:sz w:val="24"/>
                <w:szCs w:val="24"/>
              </w:rPr>
              <w:t>Linux云服务器；数据库MySQL8；中间件Redis、RabbitMQ</w:t>
            </w:r>
          </w:p>
        </w:tc>
      </w:tr>
    </w:tbl>
    <w:p w14:paraId="3EB86942">
      <w:pPr>
        <w:numPr>
          <w:ilvl w:val="0"/>
          <w:numId w:val="0"/>
        </w:numPr>
      </w:pPr>
    </w:p>
    <w:p w14:paraId="371E7072">
      <w:pPr>
        <w:pStyle w:val="3"/>
        <w:spacing w:before="240" w:after="120" w:line="240" w:lineRule="auto"/>
        <w:rPr>
          <w:color w:val="auto"/>
        </w:rPr>
      </w:pPr>
      <w:bookmarkStart w:id="3" w:name="_Toc239695473"/>
      <w:r>
        <w:rPr>
          <w:rFonts w:ascii="黑体" w:hAnsi="黑体" w:eastAsia="黑体"/>
          <w:color w:val="auto"/>
          <w:sz w:val="32"/>
        </w:rPr>
        <w:t>三、软件编译环境</w:t>
      </w:r>
      <w:bookmarkEnd w:id="3"/>
    </w:p>
    <w:p w14:paraId="38C5DDC5">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pPr>
      <w:r>
        <w:rPr>
          <w:rFonts w:hint="eastAsia"/>
        </w:rPr>
        <w:t>本软件采用服务端独立构建。服务端为SpringBoot后端应用，使用IntelliJ IDEA作为开发IDE、Maven作为构建工具，打包输出JAR可执行文件。构建前需配置JDK17、Maven、MySQL、Redis、RabbitMQ等环境，并确保与开发环境使用一致的工具链完成编译和部署。本项目编译构建对工具版本依赖性较强，开发编译环境必须使用项目指定版本软件，工具版本与项目配置不一致会出现编译报错、构建失败问题。截图为项目在IntelliJ</w:t>
      </w:r>
      <w:r>
        <w:rPr>
          <w:rFonts w:hint="eastAsia"/>
          <w:lang w:val="en-US" w:eastAsia="zh-CN"/>
        </w:rPr>
        <w:t xml:space="preserve"> </w:t>
      </w:r>
      <w:r>
        <w:rPr>
          <w:rFonts w:hint="eastAsia"/>
        </w:rPr>
        <w:t>IDEA中编译运行成功的界面，控制台日志显示SpringBootv3.5.16、Java17、Flyway数据库迁移成功，可作为环境配置正确的参考依据。服务端在主流Linux云服务器环境中构建部署，具体开发工具版本如上表所示。项目启动成功截图如图1所示。</w:t>
      </w:r>
    </w:p>
    <w:p w14:paraId="41BD5A0D">
      <w:pPr>
        <w:jc w:val="center"/>
      </w:pPr>
      <w:r>
        <w:drawing>
          <wp:inline distT="0" distB="0" distL="114300" distR="114300">
            <wp:extent cx="6024245" cy="3592195"/>
            <wp:effectExtent l="0" t="0" r="8255" b="1905"/>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10"/>
                    <a:stretch>
                      <a:fillRect/>
                    </a:stretch>
                  </pic:blipFill>
                  <pic:spPr>
                    <a:xfrm>
                      <a:off x="0" y="0"/>
                      <a:ext cx="6024245" cy="3592195"/>
                    </a:xfrm>
                    <a:prstGeom prst="rect">
                      <a:avLst/>
                    </a:prstGeom>
                    <a:noFill/>
                    <a:ln>
                      <a:noFill/>
                    </a:ln>
                  </pic:spPr>
                </pic:pic>
              </a:graphicData>
            </a:graphic>
          </wp:inline>
        </w:drawing>
      </w:r>
    </w:p>
    <w:p w14:paraId="7E3FBC33">
      <w:pPr>
        <w:jc w:val="center"/>
        <w:rPr>
          <w:rFonts w:hint="eastAsia"/>
        </w:rPr>
      </w:pPr>
      <w:r>
        <w:rPr>
          <w:b/>
          <w:sz w:val="20"/>
        </w:rPr>
        <w:t>图1 项目启动成功</w:t>
      </w:r>
    </w:p>
    <w:p w14:paraId="6E23DEF8">
      <w:pPr>
        <w:pStyle w:val="3"/>
        <w:spacing w:before="240" w:after="120" w:line="240" w:lineRule="auto"/>
        <w:rPr>
          <w:color w:val="auto"/>
        </w:rPr>
      </w:pPr>
      <w:bookmarkStart w:id="4" w:name="_Toc239695474"/>
      <w:r>
        <w:rPr>
          <w:rFonts w:ascii="黑体" w:hAnsi="黑体" w:eastAsia="黑体"/>
          <w:color w:val="auto"/>
          <w:sz w:val="32"/>
        </w:rPr>
        <w:t>四、软件安装说明</w:t>
      </w:r>
      <w:bookmarkEnd w:id="4"/>
    </w:p>
    <w:p w14:paraId="4352F55D">
      <w:pPr>
        <w:spacing w:line="440" w:lineRule="exact"/>
        <w:ind w:firstLine="480"/>
        <w:rPr>
          <w:rFonts w:hint="eastAsia"/>
        </w:rPr>
      </w:pPr>
      <w:bookmarkStart w:id="5" w:name="_Toc239695475"/>
      <w:r>
        <w:t>将编译输出的.apk安装包拷贝至Android手机存储；在手机文件管理器中找到该APK文件；开启设备</w:t>
      </w:r>
      <w:r>
        <w:rPr>
          <w:rFonts w:hint="eastAsia"/>
        </w:rPr>
        <w:t>“</w:t>
      </w:r>
      <w:r>
        <w:t>允许安装未知来源应用</w:t>
      </w:r>
      <w:r>
        <w:rPr>
          <w:rFonts w:hint="eastAsia"/>
        </w:rPr>
        <w:t>”</w:t>
      </w:r>
      <w:r>
        <w:t>权限；点击APK文件，按照页面提示完成安装；安装完成后，桌面生成软件应用图标。</w:t>
      </w:r>
    </w:p>
    <w:p w14:paraId="0421566E">
      <w:pPr>
        <w:pStyle w:val="3"/>
        <w:spacing w:before="240" w:after="120" w:line="240" w:lineRule="auto"/>
        <w:rPr>
          <w:color w:val="auto"/>
        </w:rPr>
      </w:pPr>
      <w:r>
        <w:rPr>
          <w:rFonts w:ascii="黑体" w:hAnsi="黑体" w:eastAsia="黑体"/>
          <w:color w:val="auto"/>
          <w:sz w:val="32"/>
        </w:rPr>
        <w:t>五、软件使用</w:t>
      </w:r>
      <w:bookmarkEnd w:id="5"/>
    </w:p>
    <w:p w14:paraId="0DFD7AED">
      <w:pPr>
        <w:pStyle w:val="4"/>
        <w:spacing w:before="160" w:after="80" w:line="240" w:lineRule="auto"/>
        <w:rPr>
          <w:color w:val="auto"/>
        </w:rPr>
      </w:pPr>
      <w:bookmarkStart w:id="6" w:name="_Toc239695476"/>
      <w:r>
        <w:rPr>
          <w:rFonts w:ascii="黑体" w:hAnsi="黑体" w:eastAsia="黑体"/>
          <w:color w:val="auto"/>
          <w:sz w:val="28"/>
        </w:rPr>
        <w:t>（一）注册登录与身份选择</w:t>
      </w:r>
      <w:bookmarkEnd w:id="6"/>
    </w:p>
    <w:p w14:paraId="1F5E9549">
      <w:pPr>
        <w:keepNext w:val="0"/>
        <w:keepLines w:val="0"/>
        <w:pageBreakBefore w:val="0"/>
        <w:widowControl/>
        <w:kinsoku/>
        <w:wordWrap/>
        <w:overflowPunct/>
        <w:topLinePunct w:val="0"/>
        <w:autoSpaceDE/>
        <w:autoSpaceDN/>
        <w:bidi w:val="0"/>
        <w:adjustRightInd/>
        <w:snapToGrid/>
        <w:spacing w:after="0" w:line="312" w:lineRule="auto"/>
        <w:ind w:firstLine="482"/>
        <w:jc w:val="left"/>
        <w:textAlignment w:val="auto"/>
      </w:pPr>
      <w:r>
        <w:t>用户首次启动</w:t>
      </w:r>
      <w:r>
        <w:rPr>
          <w:rFonts w:hint="eastAsia"/>
        </w:rPr>
        <w:t>轻松聘</w:t>
      </w:r>
      <w:r>
        <w:t>后进入登录页，支持手机号</w:t>
      </w:r>
      <w:r>
        <w:rPr>
          <w:rFonts w:hint="eastAsia"/>
          <w:lang w:val="en-US" w:eastAsia="zh-CN"/>
        </w:rPr>
        <w:t>加</w:t>
      </w:r>
      <w:r>
        <w:t>短信验证码登录与密码登录</w:t>
      </w:r>
      <w:r>
        <w:rPr>
          <w:rFonts w:hint="eastAsia"/>
          <w:lang w:val="en-US" w:eastAsia="zh-CN"/>
        </w:rPr>
        <w:t>两种</w:t>
      </w:r>
      <w:r>
        <w:t>方式；未注册用户在登录页选择</w:t>
      </w:r>
      <w:r>
        <w:rPr>
          <w:rFonts w:hint="eastAsia"/>
          <w:lang w:val="en-US" w:eastAsia="zh-CN"/>
        </w:rPr>
        <w:t>验证码</w:t>
      </w:r>
      <w:r>
        <w:t>，依次填写手机号、短信验证码并完成短信验证后</w:t>
      </w:r>
      <w:r>
        <w:rPr>
          <w:rFonts w:hint="eastAsia"/>
          <w:lang w:eastAsia="zh-CN"/>
        </w:rPr>
        <w:t>，</w:t>
      </w:r>
      <w:r>
        <w:rPr>
          <w:rFonts w:hint="eastAsia"/>
          <w:lang w:val="en-US" w:eastAsia="zh-CN"/>
        </w:rPr>
        <w:t>软件自动</w:t>
      </w:r>
      <w:r>
        <w:t>注册</w:t>
      </w:r>
      <w:r>
        <w:rPr>
          <w:rFonts w:hint="eastAsia"/>
          <w:lang w:val="en-US" w:eastAsia="zh-CN"/>
        </w:rPr>
        <w:t>账号并登录</w:t>
      </w:r>
      <w:r>
        <w:t>。</w:t>
      </w:r>
      <w:r>
        <w:rPr>
          <w:rFonts w:hint="eastAsia"/>
          <w:lang w:val="en-US" w:eastAsia="zh-CN"/>
        </w:rPr>
        <w:t>登录页</w:t>
      </w:r>
      <w:r>
        <w:t>如图2所示。</w:t>
      </w:r>
    </w:p>
    <w:p w14:paraId="26D42FC6">
      <w:pPr>
        <w:keepNext w:val="0"/>
        <w:keepLines w:val="0"/>
        <w:pageBreakBefore w:val="0"/>
        <w:widowControl/>
        <w:kinsoku/>
        <w:wordWrap/>
        <w:overflowPunct/>
        <w:topLinePunct w:val="0"/>
        <w:autoSpaceDE/>
        <w:autoSpaceDN/>
        <w:bidi w:val="0"/>
        <w:adjustRightInd/>
        <w:snapToGrid/>
        <w:spacing w:after="0" w:line="312" w:lineRule="auto"/>
        <w:ind w:firstLine="482"/>
        <w:jc w:val="center"/>
        <w:textAlignment w:val="auto"/>
        <w:rPr>
          <w:rFonts w:hint="eastAsia" w:eastAsia="宋体"/>
          <w:lang w:eastAsia="zh-CN"/>
        </w:rPr>
      </w:pPr>
      <w:r>
        <w:rPr>
          <w:rFonts w:hint="eastAsia" w:eastAsia="宋体"/>
          <w:lang w:eastAsia="zh-CN"/>
        </w:rPr>
        <w:drawing>
          <wp:inline distT="0" distB="0" distL="114300" distR="114300">
            <wp:extent cx="2090420" cy="4436745"/>
            <wp:effectExtent l="0" t="0" r="5080" b="0"/>
            <wp:docPr id="32" name="图片 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
                    <pic:cNvPicPr>
                      <a:picLocks noChangeAspect="1"/>
                    </pic:cNvPicPr>
                  </pic:nvPicPr>
                  <pic:blipFill>
                    <a:blip r:embed="rId11"/>
                    <a:srcRect l="-942" t="5538" r="942" b="-1178"/>
                    <a:stretch>
                      <a:fillRect/>
                    </a:stretch>
                  </pic:blipFill>
                  <pic:spPr>
                    <a:xfrm>
                      <a:off x="0" y="0"/>
                      <a:ext cx="2090420" cy="4436745"/>
                    </a:xfrm>
                    <a:prstGeom prst="rect">
                      <a:avLst/>
                    </a:prstGeom>
                  </pic:spPr>
                </pic:pic>
              </a:graphicData>
            </a:graphic>
          </wp:inline>
        </w:drawing>
      </w:r>
    </w:p>
    <w:p w14:paraId="63D6797E">
      <w:pPr>
        <w:spacing w:after="80" w:line="240" w:lineRule="auto"/>
        <w:jc w:val="center"/>
        <w:rPr>
          <w:rFonts w:hint="default" w:eastAsia="宋体"/>
          <w:lang w:val="en-US" w:eastAsia="zh-CN"/>
        </w:rPr>
      </w:pPr>
      <w:r>
        <w:rPr>
          <w:b/>
          <w:sz w:val="20"/>
        </w:rPr>
        <w:t xml:space="preserve">图2 </w:t>
      </w:r>
      <w:r>
        <w:rPr>
          <w:rFonts w:hint="eastAsia"/>
          <w:b/>
          <w:sz w:val="20"/>
          <w:lang w:val="en-US" w:eastAsia="zh-CN"/>
        </w:rPr>
        <w:t>登录页</w:t>
      </w:r>
    </w:p>
    <w:p w14:paraId="6106C767">
      <w:pPr>
        <w:keepNext w:val="0"/>
        <w:keepLines w:val="0"/>
        <w:pageBreakBefore w:val="0"/>
        <w:widowControl/>
        <w:kinsoku/>
        <w:wordWrap/>
        <w:overflowPunct/>
        <w:topLinePunct w:val="0"/>
        <w:autoSpaceDE/>
        <w:autoSpaceDN/>
        <w:bidi w:val="0"/>
        <w:adjustRightInd/>
        <w:snapToGrid/>
        <w:spacing w:after="0" w:line="312" w:lineRule="auto"/>
        <w:ind w:firstLine="482"/>
        <w:jc w:val="left"/>
        <w:textAlignment w:val="auto"/>
      </w:pPr>
      <w:r>
        <w:t>登录成功后</w:t>
      </w:r>
      <w:r>
        <w:rPr>
          <w:rFonts w:hint="eastAsia"/>
          <w:lang w:val="en-US" w:eastAsia="zh-CN"/>
        </w:rPr>
        <w:t>软件</w:t>
      </w:r>
      <w:r>
        <w:t>进入身份选择页</w:t>
      </w:r>
      <w:r>
        <w:rPr>
          <w:rFonts w:hint="eastAsia"/>
          <w:lang w:eastAsia="zh-CN"/>
        </w:rPr>
        <w:t>。</w:t>
      </w:r>
      <w:r>
        <w:rPr>
          <w:rFonts w:hint="eastAsia"/>
          <w:lang w:val="en-US" w:eastAsia="zh-CN"/>
        </w:rPr>
        <w:t>身份选择页用于明确用户在软件中的使用角色，软件以卡片形式同时展示“求职者”与“企业HR”两种身份入口，并在每张卡片下方以简介文字说明该身份的适用场景；求职者身份面向在校学生与应届毕业生，企业HR身份面向企业招聘负责人与用人部门，用户根据自身实际角色点击对应卡片，软件随即进入相应的使用端。身份选择的结果将作为后续功能入口、页面展示与数据隔离的依据，求职者与企业所看到的功能模块互不相同；用户如需切换身份，可在软件相应的设置入口中重新选择，切换后软件将同步调整可用功能与数据范围。选择身份页</w:t>
      </w:r>
      <w:r>
        <w:t>如图</w:t>
      </w:r>
      <w:r>
        <w:rPr>
          <w:rFonts w:hint="eastAsia"/>
          <w:lang w:val="en-US" w:eastAsia="zh-CN"/>
        </w:rPr>
        <w:t>3</w:t>
      </w:r>
      <w:r>
        <w:t>所示。</w:t>
      </w:r>
    </w:p>
    <w:p w14:paraId="2C7A08D1">
      <w:pPr>
        <w:keepNext w:val="0"/>
        <w:keepLines w:val="0"/>
        <w:pageBreakBefore w:val="0"/>
        <w:widowControl/>
        <w:kinsoku/>
        <w:wordWrap/>
        <w:overflowPunct/>
        <w:topLinePunct w:val="0"/>
        <w:autoSpaceDE/>
        <w:autoSpaceDN/>
        <w:bidi w:val="0"/>
        <w:adjustRightInd/>
        <w:snapToGrid/>
        <w:spacing w:after="0" w:line="312" w:lineRule="auto"/>
        <w:ind w:firstLine="482"/>
        <w:jc w:val="center"/>
        <w:textAlignment w:val="auto"/>
        <w:rPr>
          <w:rFonts w:hint="eastAsia" w:eastAsia="宋体"/>
          <w:lang w:eastAsia="zh-CN"/>
        </w:rPr>
      </w:pPr>
      <w:r>
        <w:rPr>
          <w:rFonts w:hint="eastAsia" w:eastAsia="宋体"/>
          <w:lang w:eastAsia="zh-CN"/>
        </w:rPr>
        <w:drawing>
          <wp:inline distT="0" distB="0" distL="114300" distR="114300">
            <wp:extent cx="2143760" cy="4431030"/>
            <wp:effectExtent l="0" t="0" r="2540" b="1270"/>
            <wp:docPr id="31" name="图片 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0"/>
                    <pic:cNvPicPr>
                      <a:picLocks noChangeAspect="1"/>
                    </pic:cNvPicPr>
                  </pic:nvPicPr>
                  <pic:blipFill>
                    <a:blip r:embed="rId12"/>
                    <a:srcRect t="4140"/>
                    <a:stretch>
                      <a:fillRect/>
                    </a:stretch>
                  </pic:blipFill>
                  <pic:spPr>
                    <a:xfrm>
                      <a:off x="0" y="0"/>
                      <a:ext cx="2143760" cy="4431030"/>
                    </a:xfrm>
                    <a:prstGeom prst="rect">
                      <a:avLst/>
                    </a:prstGeom>
                  </pic:spPr>
                </pic:pic>
              </a:graphicData>
            </a:graphic>
          </wp:inline>
        </w:drawing>
      </w:r>
    </w:p>
    <w:p w14:paraId="7B99031D">
      <w:pPr>
        <w:spacing w:after="80" w:line="240" w:lineRule="auto"/>
        <w:jc w:val="center"/>
      </w:pPr>
      <w:r>
        <w:rPr>
          <w:b/>
          <w:sz w:val="20"/>
        </w:rPr>
        <w:t>图</w:t>
      </w:r>
      <w:r>
        <w:rPr>
          <w:rFonts w:hint="eastAsia"/>
          <w:b/>
          <w:sz w:val="20"/>
          <w:lang w:val="en-US" w:eastAsia="zh-CN"/>
        </w:rPr>
        <w:t>3</w:t>
      </w:r>
      <w:r>
        <w:rPr>
          <w:b/>
          <w:sz w:val="20"/>
        </w:rPr>
        <w:t xml:space="preserve"> 选择身份</w:t>
      </w:r>
    </w:p>
    <w:p w14:paraId="4DD93AED">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rPr>
      </w:pPr>
      <w:r>
        <w:rPr>
          <w:rFonts w:hint="eastAsia"/>
          <w:lang w:val="en-US" w:eastAsia="zh-CN"/>
        </w:rPr>
        <w:t>选择企业HR身份的用户，必须完成企业实名认证，才可以解锁岗位发布、接收简历投递等完整招聘能力。认证环节需要提交企业全称、统一社会信用代码、企业LOGO、对接联系人及联系电话等信息，同时上传营业执照或企业资质证明材料用于核验企业真实资质。信息提交后进入人工审核流程，审核周期为1</w:t>
      </w:r>
      <w:r>
        <w:rPr>
          <w:rFonts w:hint="eastAsia"/>
          <w:lang w:val="en-US" w:eastAsia="zh-CN"/>
        </w:rPr>
        <w:noBreakHyphen/>
      </w:r>
      <w:r>
        <w:rPr>
          <w:rFonts w:hint="eastAsia"/>
          <w:lang w:val="en-US" w:eastAsia="zh-CN"/>
        </w:rPr>
        <w:t>3个工作日，审核结果将通过软件消息通知用户。企业认证审核通过，才能够正常发布招聘岗位、接收候选人简历、开展人才评估工作；未提交认证或者认证审核失败的企业账号，仅保留基础浏览权限，无法使用核心招聘功能。企业认证页</w:t>
      </w:r>
      <w:r>
        <w:t>如图</w:t>
      </w:r>
      <w:r>
        <w:rPr>
          <w:rFonts w:hint="eastAsia"/>
          <w:lang w:val="en-US" w:eastAsia="zh-CN"/>
        </w:rPr>
        <w:t>4</w:t>
      </w:r>
      <w:r>
        <w:t>所示。</w:t>
      </w:r>
    </w:p>
    <w:p w14:paraId="61EDBD79">
      <w:pPr>
        <w:spacing w:before="0" w:after="120" w:line="240" w:lineRule="auto"/>
        <w:jc w:val="center"/>
      </w:pPr>
      <w:r>
        <w:drawing>
          <wp:inline distT="0" distB="0" distL="0" distR="0">
            <wp:extent cx="1798955" cy="4337685"/>
            <wp:effectExtent l="0" t="0" r="444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3"/>
                    <a:srcRect t="4428"/>
                    <a:stretch>
                      <a:fillRect/>
                    </a:stretch>
                  </pic:blipFill>
                  <pic:spPr>
                    <a:xfrm>
                      <a:off x="0" y="0"/>
                      <a:ext cx="1798955" cy="4337685"/>
                    </a:xfrm>
                    <a:prstGeom prst="rect">
                      <a:avLst/>
                    </a:prstGeom>
                  </pic:spPr>
                </pic:pic>
              </a:graphicData>
            </a:graphic>
          </wp:inline>
        </w:drawing>
      </w:r>
    </w:p>
    <w:p w14:paraId="23854DC1">
      <w:pPr>
        <w:spacing w:after="80" w:line="240" w:lineRule="auto"/>
        <w:jc w:val="center"/>
        <w:rPr>
          <w:rFonts w:hint="eastAsia"/>
        </w:rPr>
      </w:pPr>
      <w:r>
        <w:rPr>
          <w:b/>
          <w:sz w:val="20"/>
        </w:rPr>
        <w:t>图</w:t>
      </w:r>
      <w:r>
        <w:rPr>
          <w:rFonts w:hint="eastAsia"/>
          <w:b/>
          <w:sz w:val="20"/>
          <w:lang w:val="en-US" w:eastAsia="zh-CN"/>
        </w:rPr>
        <w:t>4</w:t>
      </w:r>
      <w:r>
        <w:rPr>
          <w:b/>
          <w:sz w:val="20"/>
        </w:rPr>
        <w:t xml:space="preserve"> 企业认证</w:t>
      </w:r>
    </w:p>
    <w:p w14:paraId="4C04AB78">
      <w:pPr>
        <w:pStyle w:val="4"/>
        <w:spacing w:before="160" w:after="80" w:line="240" w:lineRule="auto"/>
        <w:rPr>
          <w:color w:val="auto"/>
        </w:rPr>
      </w:pPr>
      <w:bookmarkStart w:id="7" w:name="_Toc239695477"/>
      <w:r>
        <w:rPr>
          <w:rFonts w:ascii="黑体" w:hAnsi="黑体" w:eastAsia="黑体"/>
          <w:color w:val="auto"/>
          <w:sz w:val="28"/>
        </w:rPr>
        <w:t>（二）求职者端-岗位浏览</w:t>
      </w:r>
      <w:bookmarkEnd w:id="7"/>
    </w:p>
    <w:p w14:paraId="20717A09">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lang w:val="en-US" w:eastAsia="zh-CN"/>
        </w:rPr>
      </w:pPr>
      <w:r>
        <w:rPr>
          <w:rFonts w:hint="eastAsia"/>
          <w:lang w:val="en-US" w:eastAsia="zh-CN"/>
        </w:rPr>
        <w:t>求职者端采用底部Tab栏导航设计，设置岗位、沟通、成长、我的四大一级功能入口，覆盖求职者全部核心操作路径。</w:t>
      </w:r>
    </w:p>
    <w:p w14:paraId="162DA3F7">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rPr>
      </w:pPr>
      <w:r>
        <w:t>点击“岗位”进入岗位浏览页，支持按关键字、城市、薪资、就业类型等多维筛选与排序，岗位卡片展示岗位名称、企业名称、薪资范围、工作地点与匹配度评分，用户可点击卡片右上方收藏按钮将岗位加入收藏列表，便于后续查看。</w:t>
      </w:r>
    </w:p>
    <w:p w14:paraId="5E874271">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eastAsia="宋体"/>
          <w:lang w:eastAsia="zh-CN"/>
        </w:rPr>
      </w:pPr>
      <w:r>
        <w:rPr>
          <w:rFonts w:hint="eastAsia"/>
          <w:lang w:val="en-US" w:eastAsia="zh-CN"/>
        </w:rPr>
        <w:t>岗位浏览页支持按关键字、城市、薪资范围、就业类型、工作地点等多维条件进行筛选，并提供按匹配度、发布时间、薪资水平等关键排序方式；岗位卡片集中展示岗位名称、企业名称、薪资范围、工作地点与匹配度评分，其中匹配度评分基于候选人与岗位的双向匹配规则自动计算，分数越高代表软件判定的适配度越高。用户可点击卡片右上方的收藏按钮将心仪岗位加入收藏列表以便后续查看，也可直接进入岗位详情查看完整招聘信息；筛选条件发生变化时列表会自动刷新并分页加载更多岗位结果。岗位列表浏览页面</w:t>
      </w:r>
      <w:r>
        <w:t>如图5所示</w:t>
      </w:r>
      <w:r>
        <w:rPr>
          <w:rFonts w:hint="eastAsia"/>
          <w:lang w:eastAsia="zh-CN"/>
        </w:rPr>
        <w:t>。</w:t>
      </w:r>
    </w:p>
    <w:p w14:paraId="424F12D7">
      <w:pPr>
        <w:spacing w:before="0" w:after="120" w:line="240" w:lineRule="auto"/>
        <w:jc w:val="center"/>
        <w:rPr>
          <w:rFonts w:hint="eastAsia" w:eastAsia="宋体"/>
          <w:lang w:eastAsia="zh-CN"/>
        </w:rPr>
      </w:pPr>
      <w:r>
        <w:rPr>
          <w:rFonts w:hint="eastAsia" w:eastAsia="宋体"/>
          <w:lang w:eastAsia="zh-CN"/>
        </w:rPr>
        <w:drawing>
          <wp:inline distT="0" distB="0" distL="114300" distR="114300">
            <wp:extent cx="2140585" cy="6409690"/>
            <wp:effectExtent l="0" t="0" r="5715" b="3810"/>
            <wp:docPr id="1" name="图片 1" descr="a519fa56c24a7a7d4c8f420fca45d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519fa56c24a7a7d4c8f420fca45d729"/>
                    <pic:cNvPicPr>
                      <a:picLocks noChangeAspect="1"/>
                    </pic:cNvPicPr>
                  </pic:nvPicPr>
                  <pic:blipFill>
                    <a:blip r:embed="rId14"/>
                    <a:stretch>
                      <a:fillRect/>
                    </a:stretch>
                  </pic:blipFill>
                  <pic:spPr>
                    <a:xfrm>
                      <a:off x="0" y="0"/>
                      <a:ext cx="2140585" cy="6409690"/>
                    </a:xfrm>
                    <a:prstGeom prst="rect">
                      <a:avLst/>
                    </a:prstGeom>
                  </pic:spPr>
                </pic:pic>
              </a:graphicData>
            </a:graphic>
          </wp:inline>
        </w:drawing>
      </w:r>
    </w:p>
    <w:p w14:paraId="38ACAE9C">
      <w:pPr>
        <w:spacing w:after="80" w:line="240" w:lineRule="auto"/>
        <w:jc w:val="center"/>
        <w:rPr>
          <w:b/>
          <w:sz w:val="20"/>
        </w:rPr>
      </w:pPr>
      <w:r>
        <w:rPr>
          <w:b/>
          <w:sz w:val="20"/>
        </w:rPr>
        <w:t>图5 岗位列表浏览</w:t>
      </w:r>
    </w:p>
    <w:p w14:paraId="19A2AD32">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default"/>
          <w:lang w:val="en-US"/>
        </w:rPr>
      </w:pPr>
      <w:r>
        <w:rPr>
          <w:rFonts w:hint="eastAsia"/>
          <w:lang w:val="en-US" w:eastAsia="zh-CN"/>
        </w:rPr>
        <w:t>岗位详情页完整呈现某一岗位的招聘信息，包括岗位职责描述、任职要求、薪资范围、工作地点、就业类型、企业规模、招聘人数与有效期等字段，同时展示该岗位与当前候选人的匹配度评分及推荐原因拆解，帮助用户快速判断是否合适。页面提供“立即投递”“收藏”“对比”等操作入口，用户可直接在详情页完成投递并实时获得投递结果反馈，也可将岗位加入对比栏，与其他意向岗位进行横向比较后再做取舍。岗位详情页面如图6所示。</w:t>
      </w:r>
    </w:p>
    <w:p w14:paraId="79483635">
      <w:pPr>
        <w:spacing w:before="0" w:after="120" w:line="240" w:lineRule="auto"/>
        <w:jc w:val="center"/>
      </w:pPr>
      <w:r>
        <w:drawing>
          <wp:inline distT="0" distB="0" distL="0" distR="0">
            <wp:extent cx="1925320" cy="6151245"/>
            <wp:effectExtent l="0" t="0" r="508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5"/>
                    <a:srcRect t="2396"/>
                    <a:stretch>
                      <a:fillRect/>
                    </a:stretch>
                  </pic:blipFill>
                  <pic:spPr>
                    <a:xfrm>
                      <a:off x="0" y="0"/>
                      <a:ext cx="1925320" cy="6151245"/>
                    </a:xfrm>
                    <a:prstGeom prst="rect">
                      <a:avLst/>
                    </a:prstGeom>
                  </pic:spPr>
                </pic:pic>
              </a:graphicData>
            </a:graphic>
          </wp:inline>
        </w:drawing>
      </w:r>
    </w:p>
    <w:p w14:paraId="46F46EC3">
      <w:pPr>
        <w:spacing w:after="80" w:line="240" w:lineRule="auto"/>
        <w:jc w:val="center"/>
        <w:rPr>
          <w:rFonts w:hint="eastAsia"/>
        </w:rPr>
      </w:pPr>
      <w:r>
        <w:rPr>
          <w:b/>
          <w:sz w:val="20"/>
        </w:rPr>
        <w:t>图6 岗位详情</w:t>
      </w:r>
    </w:p>
    <w:p w14:paraId="2A4A1352">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rPr>
      </w:pPr>
      <w:r>
        <w:t>在岗位列表或岗位详情页点击“对比”可将多个岗位加入对比栏，进入岗位对比页后</w:t>
      </w:r>
      <w:r>
        <w:rPr>
          <w:rFonts w:hint="eastAsia"/>
          <w:lang w:val="en-US" w:eastAsia="zh-CN"/>
        </w:rPr>
        <w:t>软件</w:t>
      </w:r>
      <w:r>
        <w:t>将以表格形式横向展示薪资、地点、就业类型、企业规模、匹配度等关键字段，便于用户综合判断岗位优劣。</w:t>
      </w:r>
    </w:p>
    <w:p w14:paraId="2EE6D202">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rPr>
      </w:pPr>
      <w:r>
        <w:rPr>
          <w:rFonts w:hint="eastAsia"/>
          <w:lang w:val="en-US" w:eastAsia="zh-CN"/>
        </w:rPr>
        <w:t>岗位对比页支持将多个关注的岗位集中加入对比，软件以表格形式横向展示薪资、工作地点、就业类型、企业规模、匹配度等关键字段，逐列对齐以便直观比较各岗位之间的差异；对于差异显著的字段，软件还会提供差异化高亮提醒，帮助用户快速识别不同岗位的优势与不足。用户可随时增删参与对比的岗位，结合自身偏好与职业规划对多份意向岗位进行综合权衡，从而作出更科学的求职决策。岗位对比页面</w:t>
      </w:r>
      <w:r>
        <w:t>如图7所示。</w:t>
      </w:r>
    </w:p>
    <w:tbl>
      <w:tblPr>
        <w:tblStyle w:val="36"/>
        <w:tblW w:w="500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9"/>
        <w:gridCol w:w="4430"/>
      </w:tblGrid>
      <w:tr w14:paraId="70232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60" w:hRule="atLeast"/>
        </w:trPr>
        <w:tc>
          <w:tcPr>
            <w:tcW w:w="4429" w:type="dxa"/>
          </w:tcPr>
          <w:p w14:paraId="16EBA6AA">
            <w:pPr>
              <w:jc w:val="center"/>
            </w:pPr>
            <w:r>
              <w:drawing>
                <wp:inline distT="0" distB="0" distL="114300" distR="114300">
                  <wp:extent cx="2286000" cy="5166995"/>
                  <wp:effectExtent l="0" t="0" r="0"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pic:cNvPicPr>
                        </pic:nvPicPr>
                        <pic:blipFill>
                          <a:blip r:embed="rId16"/>
                          <a:srcRect t="2232"/>
                          <a:stretch>
                            <a:fillRect/>
                          </a:stretch>
                        </pic:blipFill>
                        <pic:spPr>
                          <a:xfrm>
                            <a:off x="0" y="0"/>
                            <a:ext cx="2286000" cy="5166995"/>
                          </a:xfrm>
                          <a:prstGeom prst="rect">
                            <a:avLst/>
                          </a:prstGeom>
                        </pic:spPr>
                      </pic:pic>
                    </a:graphicData>
                  </a:graphic>
                </wp:inline>
              </w:drawing>
            </w:r>
          </w:p>
        </w:tc>
        <w:tc>
          <w:tcPr>
            <w:tcW w:w="4430" w:type="dxa"/>
          </w:tcPr>
          <w:p w14:paraId="385753C5">
            <w:pPr>
              <w:jc w:val="center"/>
            </w:pPr>
            <w:r>
              <w:drawing>
                <wp:inline distT="0" distB="0" distL="114300" distR="114300">
                  <wp:extent cx="2286000" cy="5196840"/>
                  <wp:effectExtent l="0" t="0" r="0" b="1016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a:picLocks noChangeAspect="1"/>
                          </pic:cNvPicPr>
                        </pic:nvPicPr>
                        <pic:blipFill>
                          <a:blip r:embed="rId17"/>
                          <a:stretch>
                            <a:fillRect/>
                          </a:stretch>
                        </pic:blipFill>
                        <pic:spPr>
                          <a:xfrm>
                            <a:off x="0" y="0"/>
                            <a:ext cx="2286000" cy="5196840"/>
                          </a:xfrm>
                          <a:prstGeom prst="rect">
                            <a:avLst/>
                          </a:prstGeom>
                        </pic:spPr>
                      </pic:pic>
                    </a:graphicData>
                  </a:graphic>
                </wp:inline>
              </w:drawing>
            </w:r>
          </w:p>
        </w:tc>
      </w:tr>
    </w:tbl>
    <w:p w14:paraId="3D3E8FF7">
      <w:pPr>
        <w:spacing w:after="80" w:line="240" w:lineRule="auto"/>
        <w:jc w:val="center"/>
        <w:rPr>
          <w:rFonts w:hint="eastAsia"/>
        </w:rPr>
      </w:pPr>
      <w:r>
        <w:rPr>
          <w:b/>
          <w:sz w:val="20"/>
        </w:rPr>
        <w:t>图7 岗位对比</w:t>
      </w:r>
    </w:p>
    <w:p w14:paraId="2425D3DE">
      <w:pPr>
        <w:pStyle w:val="4"/>
        <w:spacing w:before="160" w:after="80" w:line="240" w:lineRule="auto"/>
        <w:rPr>
          <w:color w:val="auto"/>
        </w:rPr>
      </w:pPr>
      <w:bookmarkStart w:id="8" w:name="_Toc239695478"/>
      <w:r>
        <w:rPr>
          <w:rFonts w:ascii="黑体" w:hAnsi="黑体" w:eastAsia="黑体"/>
          <w:color w:val="auto"/>
          <w:sz w:val="28"/>
        </w:rPr>
        <w:t>（三）求职者端-简历与求职进度</w:t>
      </w:r>
      <w:bookmarkEnd w:id="8"/>
    </w:p>
    <w:p w14:paraId="5A3DBD05">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rPr>
      </w:pPr>
      <w:r>
        <w:t>求职者可在“我的—简历”中维护多版本简历，每份简历包含基本信息、教育背景、实习经历、项目经历、技能标签等模块，并可将其中一份设为默认简历；在简历列表页点击“导出简历”按钮，</w:t>
      </w:r>
      <w:r>
        <w:rPr>
          <w:rFonts w:hint="eastAsia"/>
          <w:lang w:val="en-US" w:eastAsia="zh-CN"/>
        </w:rPr>
        <w:t>软件</w:t>
      </w:r>
      <w:r>
        <w:t>将异步生成PDF简历并存储至本地，用户可在导出任务列表中查看导出进度并下载结果文件。</w:t>
      </w:r>
    </w:p>
    <w:p w14:paraId="65829DC6">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default"/>
          <w:lang w:val="en-US"/>
        </w:rPr>
      </w:pPr>
      <w:r>
        <w:rPr>
          <w:rFonts w:hint="eastAsia"/>
          <w:lang w:val="en-US" w:eastAsia="zh-CN"/>
        </w:rPr>
        <w:t>简历管理功能支持求职者维护多份简历版本，每份简历包含基本信息、教育背景、实习经历、项目经历、技能标签等模块，并可将其中的一份设为默认简历用于快速投递。在简历列表页点击“导出简历”按钮后，软件将异步生成PDF格式的简历文件并存储至本地，导出过程不影响用户继续浏览或投递；用户可在导出任务列表中查看导出进度并下载已生成的简历文件，随时可对简历内容调整后重新导出，方便用于线下投递或材料归档与被评价等场景。导出简历页面如图8所示。</w:t>
      </w:r>
    </w:p>
    <w:p w14:paraId="0D894CB3">
      <w:pPr>
        <w:spacing w:before="40" w:after="0" w:line="240" w:lineRule="auto"/>
        <w:jc w:val="center"/>
        <w:rPr>
          <w:rFonts w:hint="eastAsia"/>
        </w:rPr>
      </w:pPr>
      <w:r>
        <w:drawing>
          <wp:inline distT="0" distB="0" distL="0" distR="0">
            <wp:extent cx="1801495" cy="5158740"/>
            <wp:effectExtent l="0" t="0" r="1905" b="1016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8"/>
                    <a:srcRect t="1791"/>
                    <a:stretch>
                      <a:fillRect/>
                    </a:stretch>
                  </pic:blipFill>
                  <pic:spPr>
                    <a:xfrm>
                      <a:off x="0" y="0"/>
                      <a:ext cx="1801495" cy="5158740"/>
                    </a:xfrm>
                    <a:prstGeom prst="rect">
                      <a:avLst/>
                    </a:prstGeom>
                  </pic:spPr>
                </pic:pic>
              </a:graphicData>
            </a:graphic>
          </wp:inline>
        </w:drawing>
      </w:r>
    </w:p>
    <w:p w14:paraId="6750275F">
      <w:pPr>
        <w:spacing w:after="80" w:line="240" w:lineRule="auto"/>
        <w:jc w:val="center"/>
        <w:rPr>
          <w:rFonts w:hint="eastAsia"/>
        </w:rPr>
      </w:pPr>
      <w:r>
        <w:rPr>
          <w:b/>
          <w:sz w:val="20"/>
        </w:rPr>
        <w:t>图8 导出简历</w:t>
      </w:r>
    </w:p>
    <w:p w14:paraId="09035822">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rPr>
      </w:pPr>
      <w:r>
        <w:rPr>
          <w:rFonts w:ascii="宋体" w:hAnsi="宋体" w:eastAsia="宋体" w:cs="宋体"/>
          <w:sz w:val="24"/>
          <w:szCs w:val="24"/>
        </w:rPr>
        <w:t>求职进度页面统一管理用户所有投递记录，可视化呈现投递全流程状态流转，页面顶部为数据看板，统计总投递、面试中、Offer、已结束等数据，展示投递成功率并和</w:t>
      </w:r>
      <w:r>
        <w:rPr>
          <w:rFonts w:hint="eastAsia" w:cs="宋体"/>
          <w:sz w:val="24"/>
          <w:szCs w:val="24"/>
          <w:lang w:val="en-US" w:eastAsia="zh-CN"/>
        </w:rPr>
        <w:t>软件</w:t>
      </w:r>
      <w:r>
        <w:rPr>
          <w:rFonts w:ascii="宋体" w:hAnsi="宋体" w:eastAsia="宋体" w:cs="宋体"/>
          <w:sz w:val="24"/>
          <w:szCs w:val="24"/>
        </w:rPr>
        <w:t>均值对比；同时设置Offer到期预警，标注岗位信息、剩余时限，支持Offer对比决策。</w:t>
      </w:r>
    </w:p>
    <w:p w14:paraId="263B3C17">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lang w:val="en-US" w:eastAsia="zh-CN"/>
        </w:rPr>
      </w:pPr>
      <w:r>
        <w:rPr>
          <w:rFonts w:ascii="宋体" w:hAnsi="宋体" w:eastAsia="宋体" w:cs="宋体"/>
          <w:sz w:val="24"/>
          <w:szCs w:val="24"/>
        </w:rPr>
        <w:t>页面通过标签将投递划分为全部、待反馈、面试中、Offer、已拒绝，角标显示各状态数量。投递卡片展示企业、岗位、薪资、面试阶段、时间等信息，点击卡片可查看完整状态变更记录与企业反馈。右上角支持筛选，便于快速定位待跟进岗位。页面底部为本月求职统计，汇总投递、面试、Offer数据，直观展示面试率、Offer率，便于求职者复盘求职情况。求职进度页面如图9所示。</w:t>
      </w:r>
    </w:p>
    <w:p w14:paraId="6058C40D">
      <w:pPr>
        <w:spacing w:before="40" w:after="0" w:line="240" w:lineRule="auto"/>
        <w:jc w:val="center"/>
        <w:rPr>
          <w:rFonts w:hint="eastAsia"/>
        </w:rPr>
      </w:pPr>
      <w:r>
        <w:drawing>
          <wp:inline distT="0" distB="0" distL="0" distR="0">
            <wp:extent cx="2286000" cy="56851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9"/>
                    <a:srcRect t="1616"/>
                    <a:stretch>
                      <a:fillRect/>
                    </a:stretch>
                  </pic:blipFill>
                  <pic:spPr>
                    <a:xfrm>
                      <a:off x="0" y="0"/>
                      <a:ext cx="2286000" cy="5685155"/>
                    </a:xfrm>
                    <a:prstGeom prst="rect">
                      <a:avLst/>
                    </a:prstGeom>
                  </pic:spPr>
                </pic:pic>
              </a:graphicData>
            </a:graphic>
          </wp:inline>
        </w:drawing>
      </w:r>
    </w:p>
    <w:p w14:paraId="48660D4D">
      <w:pPr>
        <w:spacing w:after="80" w:line="240" w:lineRule="auto"/>
        <w:jc w:val="center"/>
        <w:rPr>
          <w:rFonts w:hint="eastAsia"/>
        </w:rPr>
      </w:pPr>
      <w:r>
        <w:rPr>
          <w:b/>
          <w:sz w:val="20"/>
        </w:rPr>
        <w:t>图9 求职进度</w:t>
      </w:r>
    </w:p>
    <w:p w14:paraId="0E191001">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rPr>
      </w:pPr>
      <w:r>
        <w:rPr>
          <w:rFonts w:ascii="宋体" w:hAnsi="宋体" w:eastAsia="宋体" w:cs="宋体"/>
          <w:sz w:val="24"/>
          <w:szCs w:val="24"/>
        </w:rPr>
        <w:t>当用户收到2个及以上Offer时可使用Offer对比功能，</w:t>
      </w:r>
      <w:r>
        <w:rPr>
          <w:rFonts w:hint="eastAsia" w:cs="宋体"/>
          <w:sz w:val="24"/>
          <w:szCs w:val="24"/>
          <w:lang w:val="en-US" w:eastAsia="zh-CN"/>
        </w:rPr>
        <w:t>软件</w:t>
      </w:r>
      <w:r>
        <w:rPr>
          <w:rFonts w:ascii="宋体" w:hAnsi="宋体" w:eastAsia="宋体" w:cs="宋体"/>
          <w:sz w:val="24"/>
          <w:szCs w:val="24"/>
        </w:rPr>
        <w:t>以横向卡片方式展示薪资、地点、岗位、企业规模、成长路径等关键字段，并提供差异化高亮提醒，帮助用户综合权衡多个Offer。</w:t>
      </w:r>
    </w:p>
    <w:p w14:paraId="60A670BB">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Offer对比功能在用户收到2个及以上Offer时启用，</w:t>
      </w:r>
      <w:r>
        <w:rPr>
          <w:rFonts w:hint="eastAsia" w:cs="宋体"/>
          <w:sz w:val="24"/>
          <w:szCs w:val="24"/>
          <w:lang w:val="en-US" w:eastAsia="zh-CN"/>
        </w:rPr>
        <w:t>软件</w:t>
      </w:r>
      <w:r>
        <w:rPr>
          <w:rFonts w:hint="eastAsia" w:ascii="宋体" w:hAnsi="宋体" w:eastAsia="宋体" w:cs="宋体"/>
          <w:sz w:val="24"/>
          <w:szCs w:val="24"/>
          <w:lang w:val="en-US" w:eastAsia="zh-CN"/>
        </w:rPr>
        <w:t>以横向卡片方式集中展示各Offer的薪资、地点、岗位、企业规模、成长路径等关键字段，并对差异点进行差异化高亮提醒，突出各Offer之间的不同之处。页面提供较清晰的对比结论引导，帮助求职者从薪资待遇、发展空间、通勤成本等多角度综合权衡多个Offer，从而在有限时效内作出更理性、更贴合自身规划的入职决策。</w:t>
      </w:r>
      <w:r>
        <w:rPr>
          <w:rFonts w:hint="eastAsia" w:cs="宋体"/>
          <w:sz w:val="24"/>
          <w:szCs w:val="24"/>
          <w:lang w:val="en-US" w:eastAsia="zh-CN"/>
        </w:rPr>
        <w:t>Offer对比页面</w:t>
      </w:r>
      <w:r>
        <w:rPr>
          <w:rFonts w:ascii="宋体" w:hAnsi="宋体" w:eastAsia="宋体" w:cs="宋体"/>
          <w:sz w:val="24"/>
          <w:szCs w:val="24"/>
        </w:rPr>
        <w:t>如图10所示。</w:t>
      </w:r>
    </w:p>
    <w:p w14:paraId="06712589">
      <w:pPr>
        <w:spacing w:before="0" w:after="120" w:line="240" w:lineRule="auto"/>
        <w:jc w:val="center"/>
      </w:pPr>
      <w:r>
        <w:drawing>
          <wp:inline distT="0" distB="0" distL="0" distR="0">
            <wp:extent cx="2011680" cy="5893435"/>
            <wp:effectExtent l="0" t="0" r="7620" b="1206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20"/>
                    <a:srcRect t="1722"/>
                    <a:stretch>
                      <a:fillRect/>
                    </a:stretch>
                  </pic:blipFill>
                  <pic:spPr>
                    <a:xfrm>
                      <a:off x="0" y="0"/>
                      <a:ext cx="2011680" cy="5893435"/>
                    </a:xfrm>
                    <a:prstGeom prst="rect">
                      <a:avLst/>
                    </a:prstGeom>
                  </pic:spPr>
                </pic:pic>
              </a:graphicData>
            </a:graphic>
          </wp:inline>
        </w:drawing>
      </w:r>
    </w:p>
    <w:p w14:paraId="2AFE12B6">
      <w:pPr>
        <w:spacing w:after="80" w:line="240" w:lineRule="auto"/>
        <w:jc w:val="center"/>
        <w:rPr>
          <w:b/>
          <w:sz w:val="20"/>
        </w:rPr>
      </w:pPr>
      <w:r>
        <w:rPr>
          <w:b/>
          <w:sz w:val="20"/>
        </w:rPr>
        <w:t>图10 Offer对比</w:t>
      </w:r>
    </w:p>
    <w:p w14:paraId="1FC32D3F">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薪资计算器用于帮助求职者横向比较不同岗位的实际收入水平，用户可输入或选择基础薪资、绩效奖金、补贴福利、五险一金等构成项，</w:t>
      </w:r>
      <w:r>
        <w:rPr>
          <w:rFonts w:hint="eastAsia" w:cs="宋体"/>
          <w:sz w:val="24"/>
          <w:szCs w:val="24"/>
          <w:lang w:val="en-US" w:eastAsia="zh-CN"/>
        </w:rPr>
        <w:t>软件</w:t>
      </w:r>
      <w:r>
        <w:rPr>
          <w:rFonts w:hint="eastAsia" w:ascii="宋体" w:hAnsi="宋体" w:eastAsia="宋体" w:cs="宋体"/>
          <w:sz w:val="24"/>
          <w:szCs w:val="24"/>
          <w:lang w:val="en-US" w:eastAsia="zh-CN"/>
        </w:rPr>
        <w:t>自动按月薪、年薪、实发等多个口径完成测算，并以直观方式展示扣除社保、公积金前后的收入差异。计算结果可帮助用户在比较多个Offer或评估期望薪资时获得更准确的参考依据，降低因不同岗位薪资结构差异较大而导致的误判风险。薪资计算器</w:t>
      </w:r>
      <w:r>
        <w:rPr>
          <w:rFonts w:hint="eastAsia" w:cs="宋体"/>
          <w:sz w:val="24"/>
          <w:szCs w:val="24"/>
          <w:lang w:val="en-US" w:eastAsia="zh-CN"/>
        </w:rPr>
        <w:t>页面如图11所示。</w:t>
      </w:r>
    </w:p>
    <w:p w14:paraId="23CEC123">
      <w:pPr>
        <w:spacing w:before="0" w:after="120" w:line="240" w:lineRule="auto"/>
        <w:jc w:val="center"/>
      </w:pPr>
      <w:r>
        <w:drawing>
          <wp:inline distT="0" distB="0" distL="0" distR="0">
            <wp:extent cx="2011680" cy="6427470"/>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21"/>
                    <a:srcRect t="1590"/>
                    <a:stretch>
                      <a:fillRect/>
                    </a:stretch>
                  </pic:blipFill>
                  <pic:spPr>
                    <a:xfrm>
                      <a:off x="0" y="0"/>
                      <a:ext cx="2011680" cy="6427470"/>
                    </a:xfrm>
                    <a:prstGeom prst="rect">
                      <a:avLst/>
                    </a:prstGeom>
                  </pic:spPr>
                </pic:pic>
              </a:graphicData>
            </a:graphic>
          </wp:inline>
        </w:drawing>
      </w:r>
    </w:p>
    <w:p w14:paraId="7B7C1E8C">
      <w:pPr>
        <w:spacing w:after="80" w:line="240" w:lineRule="auto"/>
        <w:jc w:val="center"/>
        <w:rPr>
          <w:rFonts w:hint="eastAsia"/>
        </w:rPr>
      </w:pPr>
      <w:r>
        <w:rPr>
          <w:b/>
          <w:sz w:val="20"/>
        </w:rPr>
        <w:t>图11 薪资计算器</w:t>
      </w:r>
    </w:p>
    <w:p w14:paraId="63ACE75B">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用户在确认入职Offer后可进入入职准备清单页，</w:t>
      </w:r>
      <w:r>
        <w:rPr>
          <w:rFonts w:hint="eastAsia" w:cs="宋体"/>
          <w:sz w:val="24"/>
          <w:szCs w:val="24"/>
          <w:lang w:val="en-US" w:eastAsia="zh-CN"/>
        </w:rPr>
        <w:t>软件</w:t>
      </w:r>
      <w:r>
        <w:rPr>
          <w:rFonts w:hint="eastAsia" w:ascii="宋体" w:hAnsi="宋体" w:eastAsia="宋体" w:cs="宋体"/>
          <w:sz w:val="24"/>
          <w:szCs w:val="24"/>
          <w:lang w:val="en-US" w:eastAsia="zh-CN"/>
        </w:rPr>
        <w:t>将以勾选项方式列出三方协议、体检报告、入职材料、报到时间、报到地点、交通住宿准备等条目，用户可逐项勾选并上传附件，确保入职流程不遗漏关键事项。</w:t>
      </w:r>
    </w:p>
    <w:p w14:paraId="048688AB">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确认接受Offer后，求职者可进入入职准备清单页，</w:t>
      </w:r>
      <w:r>
        <w:rPr>
          <w:rFonts w:hint="eastAsia" w:cs="宋体"/>
          <w:sz w:val="24"/>
          <w:szCs w:val="24"/>
          <w:lang w:val="en-US" w:eastAsia="zh-CN"/>
        </w:rPr>
        <w:t>软件</w:t>
      </w:r>
      <w:r>
        <w:rPr>
          <w:rFonts w:hint="eastAsia" w:ascii="宋体" w:hAnsi="宋体" w:eastAsia="宋体" w:cs="宋体"/>
          <w:sz w:val="24"/>
          <w:szCs w:val="24"/>
          <w:lang w:val="en-US" w:eastAsia="zh-CN"/>
        </w:rPr>
        <w:t>以可勾选方式罗列三方协议、体检报告、入职材料、报到时间、报到地点、交通住宿准备等关键事项；用户可逐项勾选完成状态并上传相关附件，页面据此实时更新整体准备进度，帮助求职者有条不紊地管理入职前各项手续，避免在报到环节遗漏关键事项。清单内容与报到安排相互关联，可作为入职前的倒排计划工具，为顺利入职提供保障。入职准备清单页</w:t>
      </w:r>
      <w:r>
        <w:rPr>
          <w:rFonts w:hint="eastAsia" w:cs="宋体"/>
          <w:sz w:val="24"/>
          <w:szCs w:val="24"/>
          <w:lang w:val="en-US" w:eastAsia="zh-CN"/>
        </w:rPr>
        <w:t>面</w:t>
      </w:r>
      <w:r>
        <w:rPr>
          <w:rFonts w:hint="eastAsia" w:ascii="宋体" w:hAnsi="宋体" w:eastAsia="宋体" w:cs="宋体"/>
          <w:sz w:val="24"/>
          <w:szCs w:val="24"/>
          <w:lang w:val="en-US" w:eastAsia="zh-CN"/>
        </w:rPr>
        <w:t>如图12所示。</w:t>
      </w:r>
    </w:p>
    <w:tbl>
      <w:tblPr>
        <w:tblStyle w:val="3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5"/>
        <w:gridCol w:w="4425"/>
      </w:tblGrid>
      <w:tr w14:paraId="6E1D8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7" w:type="dxa"/>
          </w:tcPr>
          <w:p w14:paraId="23E2CE1D">
            <w:pPr>
              <w:jc w:val="center"/>
            </w:pPr>
            <w:r>
              <w:drawing>
                <wp:inline distT="0" distB="0" distL="114300" distR="114300">
                  <wp:extent cx="2286000" cy="5470525"/>
                  <wp:effectExtent l="0" t="0" r="0" b="317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pic:cNvPicPr>
                        </pic:nvPicPr>
                        <pic:blipFill>
                          <a:blip r:embed="rId22"/>
                          <a:srcRect t="1930"/>
                          <a:stretch>
                            <a:fillRect/>
                          </a:stretch>
                        </pic:blipFill>
                        <pic:spPr>
                          <a:xfrm>
                            <a:off x="0" y="0"/>
                            <a:ext cx="2286000" cy="5470525"/>
                          </a:xfrm>
                          <a:prstGeom prst="rect">
                            <a:avLst/>
                          </a:prstGeom>
                        </pic:spPr>
                      </pic:pic>
                    </a:graphicData>
                  </a:graphic>
                </wp:inline>
              </w:drawing>
            </w:r>
          </w:p>
        </w:tc>
        <w:tc>
          <w:tcPr>
            <w:tcW w:w="4317" w:type="dxa"/>
          </w:tcPr>
          <w:p w14:paraId="35F7EE6D">
            <w:pPr>
              <w:jc w:val="center"/>
            </w:pPr>
            <w:r>
              <w:drawing>
                <wp:inline distT="0" distB="0" distL="114300" distR="114300">
                  <wp:extent cx="2286000" cy="5468620"/>
                  <wp:effectExtent l="0" t="0" r="0" b="508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spect="1"/>
                          </pic:cNvPicPr>
                        </pic:nvPicPr>
                        <pic:blipFill>
                          <a:blip r:embed="rId23"/>
                          <a:stretch>
                            <a:fillRect/>
                          </a:stretch>
                        </pic:blipFill>
                        <pic:spPr>
                          <a:xfrm>
                            <a:off x="0" y="0"/>
                            <a:ext cx="2286000" cy="5468620"/>
                          </a:xfrm>
                          <a:prstGeom prst="rect">
                            <a:avLst/>
                          </a:prstGeom>
                        </pic:spPr>
                      </pic:pic>
                    </a:graphicData>
                  </a:graphic>
                </wp:inline>
              </w:drawing>
            </w:r>
          </w:p>
        </w:tc>
      </w:tr>
    </w:tbl>
    <w:p w14:paraId="24C7B120">
      <w:pPr>
        <w:spacing w:after="80" w:line="240" w:lineRule="auto"/>
        <w:jc w:val="center"/>
        <w:rPr>
          <w:rFonts w:hint="eastAsia"/>
        </w:rPr>
      </w:pPr>
      <w:r>
        <w:rPr>
          <w:b/>
          <w:sz w:val="20"/>
        </w:rPr>
        <w:t>图12 入职准备清单</w:t>
      </w:r>
    </w:p>
    <w:p w14:paraId="1BE2DBFD">
      <w:pPr>
        <w:pStyle w:val="4"/>
        <w:spacing w:before="160" w:after="80" w:line="240" w:lineRule="auto"/>
        <w:rPr>
          <w:color w:val="auto"/>
        </w:rPr>
      </w:pPr>
      <w:bookmarkStart w:id="9" w:name="_Toc239695479"/>
      <w:r>
        <w:rPr>
          <w:rFonts w:ascii="黑体" w:hAnsi="黑体" w:eastAsia="黑体"/>
          <w:color w:val="auto"/>
          <w:sz w:val="28"/>
        </w:rPr>
        <w:t>（四）求职者端-测评与竞争力分析</w:t>
      </w:r>
      <w:bookmarkEnd w:id="9"/>
    </w:p>
    <w:p w14:paraId="691E37B3">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求职者端“成长”Tab下提供四维能力测评、职业兴趣测评与霍兰德职业兴趣测评三类测评能力。四维能力测评从专业能力、沟通能力、抗压能力、学习能力四个维度评估用户综合素养，用户作答后</w:t>
      </w:r>
      <w:r>
        <w:rPr>
          <w:rFonts w:hint="eastAsia" w:cs="宋体"/>
          <w:sz w:val="24"/>
          <w:szCs w:val="24"/>
          <w:lang w:val="en-US" w:eastAsia="zh-CN"/>
        </w:rPr>
        <w:t>软件</w:t>
      </w:r>
      <w:r>
        <w:rPr>
          <w:rFonts w:hint="eastAsia" w:ascii="宋体" w:hAnsi="宋体" w:eastAsia="宋体" w:cs="宋体"/>
          <w:sz w:val="24"/>
          <w:szCs w:val="24"/>
          <w:lang w:val="en-US" w:eastAsia="zh-CN"/>
        </w:rPr>
        <w:t>按维度给出评分与建议</w:t>
      </w:r>
      <w:r>
        <w:rPr>
          <w:rFonts w:hint="eastAsia" w:cs="宋体"/>
          <w:sz w:val="24"/>
          <w:szCs w:val="24"/>
          <w:lang w:val="en-US" w:eastAsia="zh-CN"/>
        </w:rPr>
        <w:t>。</w:t>
      </w:r>
    </w:p>
    <w:p w14:paraId="405D94EC">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四维能力测评从专业能力、沟通能力、抗压能力、学习能力四个维度对求职者的综合素养进行评估，用户按提示完成一组结构化题目后，</w:t>
      </w:r>
      <w:r>
        <w:rPr>
          <w:rFonts w:hint="eastAsia" w:cs="宋体"/>
          <w:sz w:val="24"/>
          <w:szCs w:val="24"/>
          <w:lang w:val="en-US" w:eastAsia="zh-CN"/>
        </w:rPr>
        <w:t>软件</w:t>
      </w:r>
      <w:r>
        <w:rPr>
          <w:rFonts w:hint="eastAsia" w:ascii="宋体" w:hAnsi="宋体" w:eastAsia="宋体" w:cs="宋体"/>
          <w:sz w:val="24"/>
          <w:szCs w:val="24"/>
          <w:lang w:val="en-US" w:eastAsia="zh-CN"/>
        </w:rPr>
        <w:t>自动汇总作答结果，对应给出各维度的量化评分与个性化提升建议；测评报告以可视化方式呈现各维度得分与整体水平，帮助求职者客观认识自身优势与短板，并据此规划有针对性的能力提升方向，测评结果也可作为个人画像的一部分参与后续的匹配度计算。四维能力测评</w:t>
      </w:r>
      <w:r>
        <w:rPr>
          <w:rFonts w:hint="eastAsia" w:cs="宋体"/>
          <w:sz w:val="24"/>
          <w:szCs w:val="24"/>
          <w:lang w:val="en-US" w:eastAsia="zh-CN"/>
        </w:rPr>
        <w:t>页面</w:t>
      </w:r>
      <w:r>
        <w:rPr>
          <w:rFonts w:hint="eastAsia" w:ascii="宋体" w:hAnsi="宋体" w:eastAsia="宋体" w:cs="宋体"/>
          <w:sz w:val="24"/>
          <w:szCs w:val="24"/>
          <w:lang w:val="en-US" w:eastAsia="zh-CN"/>
        </w:rPr>
        <w:t>如图13所示。</w:t>
      </w:r>
    </w:p>
    <w:p w14:paraId="70E2CF2E">
      <w:pPr>
        <w:spacing w:before="0" w:after="120" w:line="240" w:lineRule="auto"/>
        <w:jc w:val="center"/>
      </w:pPr>
      <w:r>
        <w:drawing>
          <wp:inline distT="0" distB="0" distL="0" distR="0">
            <wp:extent cx="2011680" cy="5628640"/>
            <wp:effectExtent l="0" t="0" r="7620" b="1016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24"/>
                    <a:srcRect t="1701"/>
                    <a:stretch>
                      <a:fillRect/>
                    </a:stretch>
                  </pic:blipFill>
                  <pic:spPr>
                    <a:xfrm>
                      <a:off x="0" y="0"/>
                      <a:ext cx="2011680" cy="5628640"/>
                    </a:xfrm>
                    <a:prstGeom prst="rect">
                      <a:avLst/>
                    </a:prstGeom>
                  </pic:spPr>
                </pic:pic>
              </a:graphicData>
            </a:graphic>
          </wp:inline>
        </w:drawing>
      </w:r>
    </w:p>
    <w:p w14:paraId="5F1B616B">
      <w:pPr>
        <w:spacing w:after="80" w:line="240" w:lineRule="auto"/>
        <w:jc w:val="center"/>
        <w:rPr>
          <w:b/>
          <w:sz w:val="20"/>
        </w:rPr>
      </w:pPr>
      <w:r>
        <w:rPr>
          <w:b/>
          <w:sz w:val="20"/>
        </w:rPr>
        <w:t>图13 四维能力测评</w:t>
      </w:r>
    </w:p>
    <w:p w14:paraId="3A8C980C">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职业兴趣测评围绕求职者的职业兴趣倾向进行设计，通过一系列情景式题目引导用户如实作答，</w:t>
      </w:r>
      <w:r>
        <w:rPr>
          <w:rFonts w:hint="eastAsia" w:cs="宋体"/>
          <w:sz w:val="24"/>
          <w:szCs w:val="24"/>
          <w:lang w:val="en-US" w:eastAsia="zh-CN"/>
        </w:rPr>
        <w:t>软件</w:t>
      </w:r>
      <w:r>
        <w:rPr>
          <w:rFonts w:hint="eastAsia" w:ascii="宋体" w:hAnsi="宋体" w:eastAsia="宋体" w:cs="宋体"/>
          <w:sz w:val="24"/>
          <w:szCs w:val="24"/>
          <w:lang w:val="en-US" w:eastAsia="zh-CN"/>
        </w:rPr>
        <w:t>依据作答结果将用户兴趣划分为若干典型类型，并给出相应的适配职业方向建议；测评结果与排行榜、行业分析等功能相互联动，帮助求职者把对自身的认知与行业实际需求相结合，为专业选择、求职方向与长期职业规划提供有价值的参考依据。职业兴趣测评页面如图14所示。</w:t>
      </w:r>
    </w:p>
    <w:p w14:paraId="6B97960F">
      <w:pPr>
        <w:spacing w:before="0" w:after="120" w:line="240" w:lineRule="auto"/>
        <w:jc w:val="center"/>
      </w:pPr>
      <w:r>
        <w:drawing>
          <wp:inline distT="0" distB="0" distL="0" distR="0">
            <wp:extent cx="2011680" cy="5633720"/>
            <wp:effectExtent l="0" t="0" r="762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25"/>
                    <a:srcRect t="2770"/>
                    <a:stretch>
                      <a:fillRect/>
                    </a:stretch>
                  </pic:blipFill>
                  <pic:spPr>
                    <a:xfrm>
                      <a:off x="0" y="0"/>
                      <a:ext cx="2011680" cy="5633720"/>
                    </a:xfrm>
                    <a:prstGeom prst="rect">
                      <a:avLst/>
                    </a:prstGeom>
                  </pic:spPr>
                </pic:pic>
              </a:graphicData>
            </a:graphic>
          </wp:inline>
        </w:drawing>
      </w:r>
    </w:p>
    <w:p w14:paraId="0082253E">
      <w:pPr>
        <w:spacing w:after="80" w:line="240" w:lineRule="auto"/>
        <w:jc w:val="center"/>
        <w:rPr>
          <w:rFonts w:hint="eastAsia"/>
        </w:rPr>
      </w:pPr>
      <w:r>
        <w:rPr>
          <w:b/>
          <w:sz w:val="20"/>
        </w:rPr>
        <w:t>图14 职业兴趣测评</w:t>
      </w:r>
    </w:p>
    <w:p w14:paraId="1BDB5DEB">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霍兰德职业兴趣测评采用经典RIASEC模型，将用户兴趣划分为现实型、研究型、艺术型、社会型、企业型、常规型六类，并给出三维代码与适配职业方向建议。</w:t>
      </w:r>
    </w:p>
    <w:p w14:paraId="51197FAE">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霍兰德职业兴趣测评采用经典的RIASEC模型，将用户兴趣划分为现实型、研究型、艺术型、社会型、企业型、常规型六类，通过结构化的题目作答得出用户的兴趣三维码；</w:t>
      </w:r>
      <w:r>
        <w:rPr>
          <w:rFonts w:hint="eastAsia" w:cs="宋体"/>
          <w:sz w:val="24"/>
          <w:szCs w:val="24"/>
          <w:lang w:val="en-US" w:eastAsia="zh-CN"/>
        </w:rPr>
        <w:t>软件</w:t>
      </w:r>
      <w:r>
        <w:rPr>
          <w:rFonts w:hint="eastAsia" w:ascii="宋体" w:hAnsi="宋体" w:eastAsia="宋体" w:cs="宋体"/>
          <w:sz w:val="24"/>
          <w:szCs w:val="24"/>
          <w:lang w:val="en-US" w:eastAsia="zh-CN"/>
        </w:rPr>
        <w:t>据此给出与三维码相匹配的职业方向与行业建议，帮助用户在了解自身兴趣结构的基础上，对照真实岗位需求作出更符合长期发展的职业决策。测评数据同时沉淀于个人画像中，可进一步提升后续岗位推荐的精准度。霍兰德职业兴趣测评</w:t>
      </w:r>
      <w:r>
        <w:rPr>
          <w:rFonts w:hint="eastAsia" w:cs="宋体"/>
          <w:sz w:val="24"/>
          <w:szCs w:val="24"/>
          <w:lang w:val="en-US" w:eastAsia="zh-CN"/>
        </w:rPr>
        <w:t>页面</w:t>
      </w:r>
      <w:r>
        <w:rPr>
          <w:rFonts w:hint="eastAsia" w:ascii="宋体" w:hAnsi="宋体" w:eastAsia="宋体" w:cs="宋体"/>
          <w:sz w:val="24"/>
          <w:szCs w:val="24"/>
          <w:lang w:val="en-US" w:eastAsia="zh-CN"/>
        </w:rPr>
        <w:t>如图15所示</w:t>
      </w:r>
      <w:r>
        <w:rPr>
          <w:rFonts w:hint="eastAsia" w:cs="宋体"/>
          <w:sz w:val="24"/>
          <w:szCs w:val="24"/>
          <w:lang w:val="en-US" w:eastAsia="zh-CN"/>
        </w:rPr>
        <w:t>。</w:t>
      </w:r>
    </w:p>
    <w:p w14:paraId="3A922AEA">
      <w:pPr>
        <w:spacing w:before="0" w:after="120" w:line="240" w:lineRule="auto"/>
        <w:jc w:val="center"/>
      </w:pPr>
      <w:r>
        <w:drawing>
          <wp:inline distT="0" distB="0" distL="0" distR="0">
            <wp:extent cx="2011680" cy="6618605"/>
            <wp:effectExtent l="0" t="0" r="7620" b="1079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6"/>
                    <a:srcRect t="6495"/>
                    <a:stretch>
                      <a:fillRect/>
                    </a:stretch>
                  </pic:blipFill>
                  <pic:spPr>
                    <a:xfrm>
                      <a:off x="0" y="0"/>
                      <a:ext cx="2011680" cy="6618605"/>
                    </a:xfrm>
                    <a:prstGeom prst="rect">
                      <a:avLst/>
                    </a:prstGeom>
                  </pic:spPr>
                </pic:pic>
              </a:graphicData>
            </a:graphic>
          </wp:inline>
        </w:drawing>
      </w:r>
    </w:p>
    <w:p w14:paraId="27273658">
      <w:pPr>
        <w:spacing w:after="80" w:line="240" w:lineRule="auto"/>
        <w:jc w:val="center"/>
        <w:rPr>
          <w:b/>
          <w:sz w:val="20"/>
        </w:rPr>
      </w:pPr>
      <w:r>
        <w:rPr>
          <w:b/>
          <w:sz w:val="20"/>
        </w:rPr>
        <w:t>图15 霍兰德职业兴趣测评</w:t>
      </w:r>
    </w:p>
    <w:p w14:paraId="0C617E42">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测评结果页集中汇总展示求职者已完成的各类测评成绩与维度解析，并以图表形式呈现能力得分、职业兴趣类型分布与竞争力相关指标；结果支持多次测评的历史对比与趋势展示，帮助求职者观察自身能力与兴趣随着学习与实践发生的动态变化，为持续自我提升提供数据支撑，测评结果也可在求职过程中作为展现个人特点与优势的参考依据。测评结果页</w:t>
      </w:r>
      <w:r>
        <w:rPr>
          <w:rFonts w:hint="eastAsia" w:cs="宋体"/>
          <w:sz w:val="24"/>
          <w:szCs w:val="24"/>
          <w:lang w:val="en-US" w:eastAsia="zh-CN"/>
        </w:rPr>
        <w:t>如图16所示。</w:t>
      </w:r>
    </w:p>
    <w:p w14:paraId="2BE251EA">
      <w:pPr>
        <w:spacing w:before="0" w:after="120" w:line="240" w:lineRule="auto"/>
        <w:jc w:val="center"/>
      </w:pPr>
      <w:r>
        <w:drawing>
          <wp:inline distT="0" distB="0" distL="114300" distR="114300">
            <wp:extent cx="1847215" cy="7430770"/>
            <wp:effectExtent l="0" t="0" r="6985" b="11430"/>
            <wp:docPr id="38" name="图片 38" descr="测评结果 - 职来 375w 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测评结果 - 职来 375w light"/>
                    <pic:cNvPicPr>
                      <a:picLocks noChangeAspect="1"/>
                    </pic:cNvPicPr>
                  </pic:nvPicPr>
                  <pic:blipFill>
                    <a:blip r:embed="rId27"/>
                    <a:srcRect t="1392"/>
                    <a:stretch>
                      <a:fillRect/>
                    </a:stretch>
                  </pic:blipFill>
                  <pic:spPr>
                    <a:xfrm>
                      <a:off x="0" y="0"/>
                      <a:ext cx="1847215" cy="7430770"/>
                    </a:xfrm>
                    <a:prstGeom prst="rect">
                      <a:avLst/>
                    </a:prstGeom>
                  </pic:spPr>
                </pic:pic>
              </a:graphicData>
            </a:graphic>
          </wp:inline>
        </w:drawing>
      </w:r>
    </w:p>
    <w:p w14:paraId="760D0745">
      <w:pPr>
        <w:spacing w:after="80" w:line="240" w:lineRule="auto"/>
        <w:jc w:val="center"/>
        <w:rPr>
          <w:rFonts w:hint="eastAsia"/>
        </w:rPr>
      </w:pPr>
      <w:r>
        <w:rPr>
          <w:b/>
          <w:sz w:val="20"/>
        </w:rPr>
        <w:t>图16 测评结果</w:t>
      </w:r>
    </w:p>
    <w:p w14:paraId="6CDCCFC2">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竞争力排名页基于候选人评分卡综合得分对全软件求职者进行排名，展示用户当前综合排名、</w:t>
      </w:r>
      <w:r>
        <w:rPr>
          <w:rFonts w:hint="eastAsia" w:cs="宋体"/>
          <w:sz w:val="24"/>
          <w:szCs w:val="24"/>
          <w:lang w:val="en-US" w:eastAsia="zh-CN"/>
        </w:rPr>
        <w:t>分数和</w:t>
      </w:r>
      <w:r>
        <w:rPr>
          <w:rFonts w:hint="eastAsia" w:ascii="宋体" w:hAnsi="宋体" w:eastAsia="宋体" w:cs="宋体"/>
          <w:sz w:val="24"/>
          <w:szCs w:val="24"/>
          <w:lang w:val="en-US" w:eastAsia="zh-CN"/>
        </w:rPr>
        <w:t>百分位。</w:t>
      </w:r>
    </w:p>
    <w:p w14:paraId="05AB6C99">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ascii="宋体" w:hAnsi="宋体" w:eastAsia="宋体" w:cs="宋体"/>
          <w:sz w:val="24"/>
          <w:szCs w:val="24"/>
        </w:rPr>
        <w:t>简历信息不全时页面提示暂无排名数据，并引导用户完善基本信息、教育、工作及项目经历，简历完善度越高，排名计算结果越精准。完成简历填写并产生投递行为后，</w:t>
      </w:r>
      <w:r>
        <w:rPr>
          <w:rFonts w:hint="eastAsia" w:cs="宋体"/>
          <w:sz w:val="24"/>
          <w:szCs w:val="24"/>
          <w:lang w:val="en-US" w:eastAsia="zh-CN"/>
        </w:rPr>
        <w:t>软件</w:t>
      </w:r>
      <w:r>
        <w:rPr>
          <w:rFonts w:ascii="宋体" w:hAnsi="宋体" w:eastAsia="宋体" w:cs="宋体"/>
          <w:sz w:val="24"/>
          <w:szCs w:val="24"/>
        </w:rPr>
        <w:t>基于候选人综合评分对</w:t>
      </w:r>
      <w:r>
        <w:rPr>
          <w:rFonts w:hint="eastAsia" w:cs="宋体"/>
          <w:sz w:val="24"/>
          <w:szCs w:val="24"/>
          <w:lang w:val="en-US" w:eastAsia="zh-CN"/>
        </w:rPr>
        <w:t>软件</w:t>
      </w:r>
      <w:r>
        <w:rPr>
          <w:rFonts w:ascii="宋体" w:hAnsi="宋体" w:eastAsia="宋体" w:cs="宋体"/>
          <w:sz w:val="24"/>
          <w:szCs w:val="24"/>
        </w:rPr>
        <w:t>求职者横向排名，反馈个人竞争位次，帮助求职者找准自身定位。简历信息不全时页面</w:t>
      </w:r>
      <w:r>
        <w:rPr>
          <w:rFonts w:hint="eastAsia" w:ascii="宋体" w:hAnsi="宋体" w:eastAsia="宋体" w:cs="宋体"/>
          <w:sz w:val="24"/>
          <w:szCs w:val="24"/>
          <w:lang w:val="en-US" w:eastAsia="zh-CN"/>
        </w:rPr>
        <w:t>如图17所示。</w:t>
      </w:r>
    </w:p>
    <w:p w14:paraId="4FF03B52">
      <w:pPr>
        <w:spacing w:before="0" w:after="120" w:line="240" w:lineRule="auto"/>
        <w:jc w:val="center"/>
      </w:pPr>
      <w:r>
        <w:drawing>
          <wp:inline distT="0" distB="0" distL="0" distR="0">
            <wp:extent cx="2011680" cy="4128770"/>
            <wp:effectExtent l="0" t="0" r="7620" b="1143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8"/>
                    <a:srcRect t="3744"/>
                    <a:stretch>
                      <a:fillRect/>
                    </a:stretch>
                  </pic:blipFill>
                  <pic:spPr>
                    <a:xfrm>
                      <a:off x="0" y="0"/>
                      <a:ext cx="2011680" cy="4128770"/>
                    </a:xfrm>
                    <a:prstGeom prst="rect">
                      <a:avLst/>
                    </a:prstGeom>
                  </pic:spPr>
                </pic:pic>
              </a:graphicData>
            </a:graphic>
          </wp:inline>
        </w:drawing>
      </w:r>
    </w:p>
    <w:p w14:paraId="0D544196">
      <w:pPr>
        <w:spacing w:after="80" w:line="240" w:lineRule="auto"/>
        <w:jc w:val="center"/>
        <w:rPr>
          <w:b/>
          <w:sz w:val="20"/>
        </w:rPr>
      </w:pPr>
      <w:r>
        <w:rPr>
          <w:b/>
          <w:sz w:val="20"/>
        </w:rPr>
        <w:t>图17 竞争力排名</w:t>
      </w:r>
    </w:p>
    <w:p w14:paraId="67FC8164">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default" w:ascii="宋体" w:hAnsi="宋体" w:eastAsia="宋体" w:cs="宋体"/>
          <w:sz w:val="24"/>
          <w:szCs w:val="24"/>
          <w:lang w:val="en-US"/>
        </w:rPr>
      </w:pPr>
      <w:r>
        <w:rPr>
          <w:rFonts w:hint="eastAsia" w:ascii="宋体" w:hAnsi="宋体" w:eastAsia="宋体" w:cs="宋体"/>
          <w:sz w:val="24"/>
          <w:szCs w:val="24"/>
          <w:lang w:val="en-US" w:eastAsia="zh-CN"/>
        </w:rPr>
        <w:t>同岗位竞争力排名聚焦于与当前用户投递目标相近的岗位集合，</w:t>
      </w:r>
      <w:r>
        <w:rPr>
          <w:rFonts w:ascii="宋体" w:hAnsi="宋体" w:eastAsia="宋体" w:cs="宋体"/>
          <w:sz w:val="24"/>
          <w:szCs w:val="24"/>
        </w:rPr>
        <w:t>针对某一具体投递岗位，统计该岗位总申请人数，展示求职者在全部申请者当中的综合名次、综合得分以及超越候选人的百分位。页面通过竞争力百分位分布图直观呈现全体申请者的分数分布区间，并将竞争力拆解为专业技能、项目经验、学历背景、工作年限、薪资匹配、地理位置匹配等多个维度，逐一输出各维度的百分位得分，清晰暴露个人能力的优势与短板。页面还匿名展示该岗位TOP10候选人的背景与得分水平，方便求职者对标优秀竞争者。基于多维度对比结果，</w:t>
      </w:r>
      <w:r>
        <w:rPr>
          <w:rFonts w:hint="eastAsia" w:cs="宋体"/>
          <w:sz w:val="24"/>
          <w:szCs w:val="24"/>
          <w:lang w:val="en-US" w:eastAsia="zh-CN"/>
        </w:rPr>
        <w:t>软件</w:t>
      </w:r>
      <w:r>
        <w:rPr>
          <w:rFonts w:ascii="宋体" w:hAnsi="宋体" w:eastAsia="宋体" w:cs="宋体"/>
          <w:sz w:val="24"/>
          <w:szCs w:val="24"/>
        </w:rPr>
        <w:t>输出针对性改进建议，例如补充项目经历、参与技能测评等，给出可直接跳转的操作入口，帮助求职者定向优化简历内容，补齐竞争短板，提升该岗位的应聘成功率。</w:t>
      </w:r>
      <w:r>
        <w:rPr>
          <w:rFonts w:hint="eastAsia" w:ascii="宋体" w:hAnsi="宋体" w:eastAsia="宋体" w:cs="宋体"/>
          <w:sz w:val="24"/>
          <w:szCs w:val="24"/>
          <w:lang w:val="en-US" w:eastAsia="zh-CN"/>
        </w:rPr>
        <w:t>同岗位竞争力排名</w:t>
      </w:r>
      <w:r>
        <w:rPr>
          <w:rFonts w:hint="eastAsia" w:cs="宋体"/>
          <w:sz w:val="24"/>
          <w:szCs w:val="24"/>
          <w:lang w:val="en-US" w:eastAsia="zh-CN"/>
        </w:rPr>
        <w:t>页面如图18所示。</w:t>
      </w:r>
    </w:p>
    <w:tbl>
      <w:tblPr>
        <w:tblStyle w:val="3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5"/>
        <w:gridCol w:w="4425"/>
      </w:tblGrid>
      <w:tr w14:paraId="31D78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7" w:type="dxa"/>
          </w:tcPr>
          <w:p w14:paraId="0913E8AB">
            <w:pPr>
              <w:jc w:val="center"/>
            </w:pPr>
            <w:r>
              <w:drawing>
                <wp:inline distT="0" distB="0" distL="114300" distR="114300">
                  <wp:extent cx="2011680" cy="4968240"/>
                  <wp:effectExtent l="0" t="0" r="7620" b="1016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a:picLocks noChangeAspect="1"/>
                          </pic:cNvPicPr>
                        </pic:nvPicPr>
                        <pic:blipFill>
                          <a:blip r:embed="rId29"/>
                          <a:srcRect t="2605"/>
                          <a:stretch>
                            <a:fillRect/>
                          </a:stretch>
                        </pic:blipFill>
                        <pic:spPr>
                          <a:xfrm>
                            <a:off x="0" y="0"/>
                            <a:ext cx="2011680" cy="4968240"/>
                          </a:xfrm>
                          <a:prstGeom prst="rect">
                            <a:avLst/>
                          </a:prstGeom>
                        </pic:spPr>
                      </pic:pic>
                    </a:graphicData>
                  </a:graphic>
                </wp:inline>
              </w:drawing>
            </w:r>
          </w:p>
        </w:tc>
        <w:tc>
          <w:tcPr>
            <w:tcW w:w="4317" w:type="dxa"/>
          </w:tcPr>
          <w:p w14:paraId="579ED39B">
            <w:pPr>
              <w:jc w:val="center"/>
            </w:pPr>
            <w:r>
              <w:drawing>
                <wp:inline distT="0" distB="0" distL="114300" distR="114300">
                  <wp:extent cx="2011680" cy="4961255"/>
                  <wp:effectExtent l="0" t="0" r="7620" b="444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pic:cNvPicPr>
                        </pic:nvPicPr>
                        <pic:blipFill>
                          <a:blip r:embed="rId30"/>
                          <a:stretch>
                            <a:fillRect/>
                          </a:stretch>
                        </pic:blipFill>
                        <pic:spPr>
                          <a:xfrm>
                            <a:off x="0" y="0"/>
                            <a:ext cx="2011680" cy="4961255"/>
                          </a:xfrm>
                          <a:prstGeom prst="rect">
                            <a:avLst/>
                          </a:prstGeom>
                        </pic:spPr>
                      </pic:pic>
                    </a:graphicData>
                  </a:graphic>
                </wp:inline>
              </w:drawing>
            </w:r>
          </w:p>
        </w:tc>
      </w:tr>
    </w:tbl>
    <w:p w14:paraId="17FDF268">
      <w:pPr>
        <w:spacing w:after="80" w:line="240" w:lineRule="auto"/>
        <w:jc w:val="center"/>
        <w:rPr>
          <w:rFonts w:hint="eastAsia"/>
        </w:rPr>
      </w:pPr>
      <w:r>
        <w:rPr>
          <w:b/>
          <w:sz w:val="20"/>
        </w:rPr>
        <w:t>图18 同岗位竞争力排名</w:t>
      </w:r>
    </w:p>
    <w:p w14:paraId="04494A57">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rPr>
      </w:pPr>
      <w:r>
        <w:rPr>
          <w:rFonts w:ascii="宋体" w:hAnsi="宋体" w:eastAsia="宋体" w:cs="宋体"/>
          <w:sz w:val="24"/>
          <w:szCs w:val="24"/>
        </w:rPr>
        <w:t>词云页面支持按行业、岗位、地域、工作年限筛选条件，生成对应岗位领域的技能词云。词云中字体大小直观代表技能的市场需求热度，字体越大代表岗位招聘中该技能出现频次越高。页面设置技能分类标签，可按照前端框架、工程化工具、编程语言等类别对技能做过滤查看；下方展示热门技能TOP10榜单，呈现各项技能的需求指数与近30天需求涨跌变化，直观反映技能市场行情。页面同时计算求职者个人技能匹配度，统计已掌握的热门技能数量，提示需要补充的技能项，并提供完善技能、生成技能学习路径的操作入口，帮助求职者对标岗位招聘要求，补齐自身技能短板，指导简历技能标签填写，让个人能力与行业招聘需求相匹配。</w:t>
      </w:r>
      <w:r>
        <w:rPr>
          <w:rFonts w:hint="eastAsia" w:cs="宋体"/>
          <w:sz w:val="24"/>
          <w:szCs w:val="24"/>
          <w:lang w:val="en-US" w:eastAsia="zh-CN"/>
        </w:rPr>
        <w:t>行业技能词云页面如图19所示。</w:t>
      </w:r>
    </w:p>
    <w:p w14:paraId="0AB594D2">
      <w:pPr>
        <w:spacing w:before="40" w:after="0" w:line="240" w:lineRule="auto"/>
        <w:jc w:val="center"/>
        <w:rPr>
          <w:rFonts w:hint="eastAsia"/>
        </w:rPr>
      </w:pPr>
      <w:r>
        <w:drawing>
          <wp:inline distT="0" distB="0" distL="0" distR="0">
            <wp:extent cx="2286000" cy="713232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31"/>
                    <a:srcRect t="1958"/>
                    <a:stretch>
                      <a:fillRect/>
                    </a:stretch>
                  </pic:blipFill>
                  <pic:spPr>
                    <a:xfrm>
                      <a:off x="0" y="0"/>
                      <a:ext cx="2286000" cy="7132320"/>
                    </a:xfrm>
                    <a:prstGeom prst="rect">
                      <a:avLst/>
                    </a:prstGeom>
                  </pic:spPr>
                </pic:pic>
              </a:graphicData>
            </a:graphic>
          </wp:inline>
        </w:drawing>
      </w:r>
    </w:p>
    <w:p w14:paraId="731AEC04">
      <w:pPr>
        <w:spacing w:after="80" w:line="240" w:lineRule="auto"/>
        <w:jc w:val="center"/>
        <w:rPr>
          <w:rFonts w:hint="eastAsia"/>
        </w:rPr>
      </w:pPr>
      <w:r>
        <w:rPr>
          <w:b/>
          <w:sz w:val="20"/>
        </w:rPr>
        <w:t>图19 行业技能词云</w:t>
      </w:r>
    </w:p>
    <w:p w14:paraId="6ADD4A57">
      <w:pPr>
        <w:pStyle w:val="4"/>
        <w:spacing w:before="160" w:after="80" w:line="240" w:lineRule="auto"/>
        <w:rPr>
          <w:color w:val="auto"/>
        </w:rPr>
      </w:pPr>
      <w:bookmarkStart w:id="10" w:name="_Toc239695480"/>
      <w:r>
        <w:rPr>
          <w:rFonts w:ascii="黑体" w:hAnsi="黑体" w:eastAsia="黑体"/>
          <w:color w:val="auto"/>
          <w:sz w:val="28"/>
        </w:rPr>
        <w:t>（五）求职者端-AI能力</w:t>
      </w:r>
      <w:bookmarkEnd w:id="10"/>
    </w:p>
    <w:p w14:paraId="19951681">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default" w:ascii="宋体" w:hAnsi="宋体" w:eastAsia="宋体" w:cs="宋体"/>
          <w:sz w:val="24"/>
          <w:szCs w:val="24"/>
          <w:lang w:val="en-US" w:eastAsia="zh-CN"/>
        </w:rPr>
      </w:pPr>
      <w:r>
        <w:rPr>
          <w:rFonts w:ascii="宋体" w:hAnsi="宋体" w:eastAsia="宋体" w:cs="宋体"/>
          <w:sz w:val="24"/>
          <w:szCs w:val="24"/>
        </w:rPr>
        <w:t>AI模拟面试提供全真模拟、专项突破、快速问答三种面试模式，不同模式对应不同的时长、题量与练习定位。用户可自定义目标岗位、模拟公司、难度等级与面试时长，还可勾选技术题、项目题、行为题等题型，也支持自定义题型。页面展示本次练习预估提升的能力项，同时提示模拟练习对面试通过率的提升效果；下方记录最近练习历史，可查看历次面试的得分与练习报告。用户开启麦克风后点击开始面试即可进行练习，能够模拟真实面试场景完成答题训练，练习结束后AI输出评分与针对性改进建议，帮助求职者熟悉面试流程，锻炼临场应变与语言表达能力。AI模拟面试</w:t>
      </w:r>
      <w:r>
        <w:rPr>
          <w:rFonts w:hint="eastAsia" w:cs="宋体"/>
          <w:sz w:val="24"/>
          <w:szCs w:val="24"/>
          <w:lang w:val="en-US" w:eastAsia="zh-CN"/>
        </w:rPr>
        <w:t>页面如图20所示。</w:t>
      </w:r>
    </w:p>
    <w:p w14:paraId="0D7DC1F1">
      <w:pPr>
        <w:spacing w:before="0" w:after="120" w:line="240" w:lineRule="auto"/>
        <w:jc w:val="center"/>
      </w:pPr>
      <w:r>
        <w:drawing>
          <wp:inline distT="0" distB="0" distL="0" distR="0">
            <wp:extent cx="2011680" cy="6318885"/>
            <wp:effectExtent l="0" t="0" r="762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32"/>
                    <a:srcRect t="2101"/>
                    <a:stretch>
                      <a:fillRect/>
                    </a:stretch>
                  </pic:blipFill>
                  <pic:spPr>
                    <a:xfrm>
                      <a:off x="0" y="0"/>
                      <a:ext cx="2011680" cy="6318885"/>
                    </a:xfrm>
                    <a:prstGeom prst="rect">
                      <a:avLst/>
                    </a:prstGeom>
                  </pic:spPr>
                </pic:pic>
              </a:graphicData>
            </a:graphic>
          </wp:inline>
        </w:drawing>
      </w:r>
    </w:p>
    <w:p w14:paraId="155F2634">
      <w:pPr>
        <w:spacing w:after="80" w:line="240" w:lineRule="auto"/>
        <w:jc w:val="center"/>
        <w:rPr>
          <w:b/>
          <w:sz w:val="20"/>
        </w:rPr>
      </w:pPr>
      <w:r>
        <w:rPr>
          <w:b/>
          <w:sz w:val="20"/>
        </w:rPr>
        <w:t>图20</w:t>
      </w:r>
      <w:r>
        <w:rPr>
          <w:rFonts w:hint="eastAsia"/>
          <w:b/>
          <w:sz w:val="20"/>
          <w:lang w:val="en-US" w:eastAsia="zh-CN"/>
        </w:rPr>
        <w:t xml:space="preserve"> </w:t>
      </w:r>
      <w:r>
        <w:rPr>
          <w:b/>
          <w:sz w:val="20"/>
        </w:rPr>
        <w:t>AI模拟面试</w:t>
      </w:r>
    </w:p>
    <w:p w14:paraId="52C44FA3">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AI简历优化功能结合岗位要求与候选人简历内容，自动分析简历中表达模糊、亮点不足、与目标岗位要求不匹配之处，并针对性地给出措辞改进与内容补全建议；用户可逐条查看优化提示并对比优化前后的效果，选择接受或忽略相应建议，最终一键生成经过优化的简历版本并保存为新版本。该功能有助于用户提升简历在求职筛选过程中的辨识度与通过率，让个人经历与岗位需求结合得更加紧密。</w:t>
      </w:r>
      <w:r>
        <w:rPr>
          <w:rFonts w:ascii="宋体" w:hAnsi="宋体" w:eastAsia="宋体" w:cs="宋体"/>
          <w:sz w:val="24"/>
          <w:szCs w:val="24"/>
        </w:rPr>
        <w:t>AI</w:t>
      </w:r>
      <w:r>
        <w:rPr>
          <w:rFonts w:hint="eastAsia" w:cs="宋体"/>
          <w:sz w:val="24"/>
          <w:szCs w:val="24"/>
          <w:lang w:val="en-US" w:eastAsia="zh-CN"/>
        </w:rPr>
        <w:t>简历优化页面如图21所示。</w:t>
      </w:r>
    </w:p>
    <w:tbl>
      <w:tblPr>
        <w:tblStyle w:val="3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5"/>
        <w:gridCol w:w="4425"/>
      </w:tblGrid>
      <w:tr w14:paraId="6E873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7" w:type="dxa"/>
          </w:tcPr>
          <w:p w14:paraId="0C017E2A">
            <w:pPr>
              <w:jc w:val="center"/>
            </w:pPr>
            <w:r>
              <w:drawing>
                <wp:inline distT="0" distB="0" distL="114300" distR="114300">
                  <wp:extent cx="2011680" cy="4964430"/>
                  <wp:effectExtent l="0" t="0" r="7620" b="127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33"/>
                          <a:srcRect t="2522"/>
                          <a:stretch>
                            <a:fillRect/>
                          </a:stretch>
                        </pic:blipFill>
                        <pic:spPr>
                          <a:xfrm>
                            <a:off x="0" y="0"/>
                            <a:ext cx="2011680" cy="4964430"/>
                          </a:xfrm>
                          <a:prstGeom prst="rect">
                            <a:avLst/>
                          </a:prstGeom>
                        </pic:spPr>
                      </pic:pic>
                    </a:graphicData>
                  </a:graphic>
                </wp:inline>
              </w:drawing>
            </w:r>
          </w:p>
        </w:tc>
        <w:tc>
          <w:tcPr>
            <w:tcW w:w="4317" w:type="dxa"/>
          </w:tcPr>
          <w:p w14:paraId="5A364B86">
            <w:pPr>
              <w:jc w:val="center"/>
            </w:pPr>
            <w:r>
              <w:drawing>
                <wp:inline distT="0" distB="0" distL="114300" distR="114300">
                  <wp:extent cx="2011680" cy="5015865"/>
                  <wp:effectExtent l="0" t="0" r="7620" b="63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pic:cNvPicPr>
                        </pic:nvPicPr>
                        <pic:blipFill>
                          <a:blip r:embed="rId34"/>
                          <a:stretch>
                            <a:fillRect/>
                          </a:stretch>
                        </pic:blipFill>
                        <pic:spPr>
                          <a:xfrm>
                            <a:off x="0" y="0"/>
                            <a:ext cx="2011680" cy="5015865"/>
                          </a:xfrm>
                          <a:prstGeom prst="rect">
                            <a:avLst/>
                          </a:prstGeom>
                        </pic:spPr>
                      </pic:pic>
                    </a:graphicData>
                  </a:graphic>
                </wp:inline>
              </w:drawing>
            </w:r>
          </w:p>
        </w:tc>
      </w:tr>
    </w:tbl>
    <w:p w14:paraId="29AE4FB5">
      <w:pPr>
        <w:spacing w:after="80" w:line="240" w:lineRule="auto"/>
        <w:jc w:val="center"/>
        <w:rPr>
          <w:rFonts w:hint="eastAsia"/>
        </w:rPr>
      </w:pPr>
      <w:r>
        <w:rPr>
          <w:b/>
          <w:sz w:val="20"/>
        </w:rPr>
        <w:t>图21</w:t>
      </w:r>
      <w:r>
        <w:rPr>
          <w:rFonts w:hint="eastAsia"/>
          <w:b/>
          <w:sz w:val="20"/>
          <w:lang w:val="en-US" w:eastAsia="zh-CN"/>
        </w:rPr>
        <w:t xml:space="preserve"> </w:t>
      </w:r>
      <w:r>
        <w:rPr>
          <w:b/>
          <w:sz w:val="20"/>
        </w:rPr>
        <w:t>AI简历优化</w:t>
      </w:r>
    </w:p>
    <w:p w14:paraId="1F3497C4">
      <w:pPr>
        <w:pStyle w:val="4"/>
        <w:spacing w:before="160" w:after="80" w:line="240" w:lineRule="auto"/>
        <w:rPr>
          <w:color w:val="auto"/>
        </w:rPr>
      </w:pPr>
      <w:bookmarkStart w:id="11" w:name="_Toc239695481"/>
      <w:r>
        <w:rPr>
          <w:rFonts w:ascii="黑体" w:hAnsi="黑体" w:eastAsia="黑体"/>
          <w:color w:val="auto"/>
          <w:sz w:val="28"/>
        </w:rPr>
        <w:t>（六）企业端-岗位与人才</w:t>
      </w:r>
      <w:bookmarkEnd w:id="11"/>
    </w:p>
    <w:p w14:paraId="2C634A03">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ascii="宋体" w:hAnsi="宋体" w:eastAsia="宋体" w:cs="宋体"/>
          <w:sz w:val="24"/>
          <w:szCs w:val="24"/>
        </w:rPr>
      </w:pPr>
      <w:r>
        <w:rPr>
          <w:rFonts w:ascii="宋体" w:hAnsi="宋体" w:eastAsia="宋体" w:cs="宋体"/>
          <w:sz w:val="24"/>
          <w:szCs w:val="24"/>
        </w:rPr>
        <w:t>企业端用户在通过企业实名认证后进入企业端</w:t>
      </w:r>
      <w:r>
        <w:rPr>
          <w:rFonts w:hint="eastAsia" w:ascii="宋体" w:hAnsi="宋体" w:eastAsia="宋体" w:cs="宋体"/>
          <w:sz w:val="24"/>
          <w:szCs w:val="24"/>
          <w:lang w:val="en-US" w:eastAsia="zh-CN"/>
        </w:rPr>
        <w:t>岗位页面</w:t>
      </w:r>
      <w:r>
        <w:rPr>
          <w:rFonts w:ascii="宋体" w:hAnsi="宋体" w:eastAsia="宋体" w:cs="宋体"/>
          <w:sz w:val="24"/>
          <w:szCs w:val="24"/>
        </w:rPr>
        <w:t>，</w:t>
      </w:r>
      <w:r>
        <w:rPr>
          <w:rFonts w:hint="eastAsia"/>
          <w:lang w:val="en-US" w:eastAsia="zh-CN"/>
        </w:rPr>
        <w:t>采用底部Tab栏导航设计，设置岗位、人才、沟通、我的四大一级功能入口，覆盖企业HR全部核心操作路径。</w:t>
      </w:r>
    </w:p>
    <w:p w14:paraId="00BDFB5B">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岗位管理页以列表形式集中展示企业已发布的全部岗位及其审核与招聘状态，包括待审核、招聘中、已结束等，并同步展示各岗位收到的投递数、面试数与Offer数等关键运营指标，帮助HR快速掌握各岗位的招聘效果。HR可对岗位执行编辑、</w:t>
      </w:r>
      <w:r>
        <w:rPr>
          <w:rFonts w:hint="eastAsia" w:cs="宋体"/>
          <w:sz w:val="24"/>
          <w:szCs w:val="24"/>
          <w:lang w:val="en-US" w:eastAsia="zh-CN"/>
        </w:rPr>
        <w:t>刷新、</w:t>
      </w:r>
      <w:r>
        <w:rPr>
          <w:rFonts w:hint="eastAsia" w:ascii="宋体" w:hAnsi="宋体" w:eastAsia="宋体" w:cs="宋体"/>
          <w:sz w:val="24"/>
          <w:szCs w:val="24"/>
          <w:lang w:val="en-US" w:eastAsia="zh-CN"/>
        </w:rPr>
        <w:t>上下线等操作，并结合投递转化等数据评估岗位设置是否合理，从而动态调整招聘节奏、报酬区间与岗位投向，提升整体招聘效率与成功率。</w:t>
      </w:r>
      <w:r>
        <w:rPr>
          <w:rFonts w:hint="eastAsia" w:cs="宋体"/>
          <w:sz w:val="24"/>
          <w:szCs w:val="24"/>
          <w:lang w:val="en-US" w:eastAsia="zh-CN"/>
        </w:rPr>
        <w:t>岗位管理</w:t>
      </w:r>
      <w:r>
        <w:rPr>
          <w:rFonts w:hint="eastAsia" w:ascii="宋体" w:hAnsi="宋体" w:eastAsia="宋体" w:cs="宋体"/>
          <w:sz w:val="24"/>
          <w:szCs w:val="24"/>
          <w:lang w:val="en-US" w:eastAsia="zh-CN"/>
        </w:rPr>
        <w:t>如图2</w:t>
      </w:r>
      <w:r>
        <w:rPr>
          <w:rFonts w:hint="eastAsia" w:cs="宋体"/>
          <w:sz w:val="24"/>
          <w:szCs w:val="24"/>
          <w:lang w:val="en-US" w:eastAsia="zh-CN"/>
        </w:rPr>
        <w:t>2</w:t>
      </w:r>
      <w:r>
        <w:rPr>
          <w:rFonts w:hint="eastAsia" w:ascii="宋体" w:hAnsi="宋体" w:eastAsia="宋体" w:cs="宋体"/>
          <w:sz w:val="24"/>
          <w:szCs w:val="24"/>
          <w:lang w:val="en-US" w:eastAsia="zh-CN"/>
        </w:rPr>
        <w:t>所示</w:t>
      </w:r>
      <w:r>
        <w:rPr>
          <w:rFonts w:hint="eastAsia" w:cs="宋体"/>
          <w:sz w:val="24"/>
          <w:szCs w:val="24"/>
          <w:lang w:val="en-US" w:eastAsia="zh-CN"/>
        </w:rPr>
        <w:t>。</w:t>
      </w:r>
    </w:p>
    <w:tbl>
      <w:tblPr>
        <w:tblStyle w:val="3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5"/>
        <w:gridCol w:w="4425"/>
      </w:tblGrid>
      <w:tr w14:paraId="14C7E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7" w:type="dxa"/>
          </w:tcPr>
          <w:p w14:paraId="614C7BD3">
            <w:pPr>
              <w:jc w:val="center"/>
              <w:rPr>
                <w:rFonts w:hint="eastAsia" w:eastAsia="宋体"/>
                <w:lang w:eastAsia="zh-CN"/>
              </w:rPr>
            </w:pPr>
            <w:r>
              <w:rPr>
                <w:rFonts w:hint="eastAsia" w:eastAsia="宋体"/>
                <w:lang w:eastAsia="zh-CN"/>
              </w:rPr>
              <w:drawing>
                <wp:inline distT="0" distB="0" distL="114300" distR="114300">
                  <wp:extent cx="2129155" cy="4781550"/>
                  <wp:effectExtent l="0" t="0" r="4445" b="6350"/>
                  <wp:docPr id="22" name="图片 22" descr="岗位管理（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岗位管理（上）"/>
                          <pic:cNvPicPr>
                            <a:picLocks noChangeAspect="1"/>
                          </pic:cNvPicPr>
                        </pic:nvPicPr>
                        <pic:blipFill>
                          <a:blip r:embed="rId35"/>
                          <a:srcRect t="2782"/>
                          <a:stretch>
                            <a:fillRect/>
                          </a:stretch>
                        </pic:blipFill>
                        <pic:spPr>
                          <a:xfrm>
                            <a:off x="0" y="0"/>
                            <a:ext cx="2129155" cy="4781550"/>
                          </a:xfrm>
                          <a:prstGeom prst="rect">
                            <a:avLst/>
                          </a:prstGeom>
                        </pic:spPr>
                      </pic:pic>
                    </a:graphicData>
                  </a:graphic>
                </wp:inline>
              </w:drawing>
            </w:r>
          </w:p>
        </w:tc>
        <w:tc>
          <w:tcPr>
            <w:tcW w:w="4317" w:type="dxa"/>
          </w:tcPr>
          <w:p w14:paraId="5C90AD42">
            <w:pPr>
              <w:jc w:val="center"/>
              <w:rPr>
                <w:rFonts w:hint="eastAsia" w:eastAsia="宋体"/>
                <w:lang w:eastAsia="zh-CN"/>
              </w:rPr>
            </w:pPr>
            <w:r>
              <w:rPr>
                <w:rFonts w:hint="eastAsia" w:eastAsia="宋体"/>
                <w:lang w:eastAsia="zh-CN"/>
              </w:rPr>
              <w:drawing>
                <wp:inline distT="0" distB="0" distL="114300" distR="114300">
                  <wp:extent cx="2169160" cy="4796790"/>
                  <wp:effectExtent l="0" t="0" r="2540" b="3810"/>
                  <wp:docPr id="23" name="图片 23" descr="岗位管理（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岗位管理（下）"/>
                          <pic:cNvPicPr>
                            <a:picLocks noChangeAspect="1"/>
                          </pic:cNvPicPr>
                        </pic:nvPicPr>
                        <pic:blipFill>
                          <a:blip r:embed="rId36"/>
                          <a:stretch>
                            <a:fillRect/>
                          </a:stretch>
                        </pic:blipFill>
                        <pic:spPr>
                          <a:xfrm>
                            <a:off x="0" y="0"/>
                            <a:ext cx="2169160" cy="4796790"/>
                          </a:xfrm>
                          <a:prstGeom prst="rect">
                            <a:avLst/>
                          </a:prstGeom>
                        </pic:spPr>
                      </pic:pic>
                    </a:graphicData>
                  </a:graphic>
                </wp:inline>
              </w:drawing>
            </w:r>
          </w:p>
        </w:tc>
      </w:tr>
    </w:tbl>
    <w:p w14:paraId="5569125E">
      <w:pPr>
        <w:spacing w:after="80" w:line="240" w:lineRule="auto"/>
        <w:jc w:val="center"/>
        <w:rPr>
          <w:rFonts w:ascii="宋体" w:hAnsi="宋体" w:eastAsia="宋体" w:cs="宋体"/>
          <w:sz w:val="24"/>
          <w:szCs w:val="24"/>
        </w:rPr>
      </w:pPr>
      <w:r>
        <w:rPr>
          <w:b/>
          <w:sz w:val="20"/>
        </w:rPr>
        <w:t>图2</w:t>
      </w:r>
      <w:r>
        <w:rPr>
          <w:rFonts w:hint="eastAsia"/>
          <w:b/>
          <w:sz w:val="20"/>
          <w:lang w:val="en-US" w:eastAsia="zh-CN"/>
        </w:rPr>
        <w:t>2</w:t>
      </w:r>
      <w:r>
        <w:rPr>
          <w:b/>
          <w:sz w:val="20"/>
        </w:rPr>
        <w:t xml:space="preserve"> 企业端岗位管理</w:t>
      </w:r>
    </w:p>
    <w:p w14:paraId="3FAEF8D8">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rPr>
      </w:pPr>
      <w:r>
        <w:rPr>
          <w:rFonts w:ascii="宋体" w:hAnsi="宋体" w:eastAsia="宋体" w:cs="宋体"/>
          <w:sz w:val="24"/>
          <w:szCs w:val="24"/>
        </w:rPr>
        <w:t>在“发布岗位”页填写岗位名称、职责描述、任职要求、薪资范围、工作地点、就业类型、招聘人数、有效期等字段后即可提交岗位，提交后岗位默认进入“待审核”状态，待平</w:t>
      </w:r>
      <w:r>
        <w:rPr>
          <w:rFonts w:hint="eastAsia" w:ascii="宋体" w:hAnsi="宋体" w:eastAsia="宋体" w:cs="宋体"/>
          <w:sz w:val="24"/>
          <w:szCs w:val="24"/>
          <w:lang w:val="en-US" w:eastAsia="zh-CN"/>
        </w:rPr>
        <w:t>软件</w:t>
      </w:r>
      <w:r>
        <w:rPr>
          <w:rFonts w:ascii="宋体" w:hAnsi="宋体" w:eastAsia="宋体" w:cs="宋体"/>
          <w:sz w:val="24"/>
          <w:szCs w:val="24"/>
        </w:rPr>
        <w:t>运营管理员审核通过后对外可见。</w:t>
      </w:r>
    </w:p>
    <w:p w14:paraId="5C9938C3">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企业端用户在完成企业实名认证后即可通过“发布岗位”功能发布岗位，发布页需填写岗位名称、职责描述、任职要求、薪资范围、工作地点、就业类型、招聘人数与有效期等字段，并在提交前提供内容预览与必填项校验，避免信息缺失或明显不一致。岗位提交后将进入</w:t>
      </w:r>
      <w:r>
        <w:rPr>
          <w:rFonts w:hint="eastAsia" w:cs="宋体"/>
          <w:sz w:val="24"/>
          <w:szCs w:val="24"/>
          <w:lang w:val="en-US" w:eastAsia="zh-CN"/>
        </w:rPr>
        <w:t>软件</w:t>
      </w:r>
      <w:r>
        <w:rPr>
          <w:rFonts w:hint="eastAsia" w:ascii="宋体" w:hAnsi="宋体" w:eastAsia="宋体" w:cs="宋体"/>
          <w:sz w:val="24"/>
          <w:szCs w:val="24"/>
          <w:lang w:val="en-US" w:eastAsia="zh-CN"/>
        </w:rPr>
        <w:t>审核流程，审核通过后进入“招聘中”状态并向求职者开放投递；若审核未通过，</w:t>
      </w:r>
      <w:r>
        <w:rPr>
          <w:rFonts w:hint="eastAsia" w:cs="宋体"/>
          <w:sz w:val="24"/>
          <w:szCs w:val="24"/>
          <w:lang w:val="en-US" w:eastAsia="zh-CN"/>
        </w:rPr>
        <w:t>软件</w:t>
      </w:r>
      <w:r>
        <w:rPr>
          <w:rFonts w:hint="eastAsia" w:ascii="宋体" w:hAnsi="宋体" w:eastAsia="宋体" w:cs="宋体"/>
          <w:sz w:val="24"/>
          <w:szCs w:val="24"/>
          <w:lang w:val="en-US" w:eastAsia="zh-CN"/>
        </w:rPr>
        <w:t>会反馈相应原因，企业可据此修改后重新提交，从而保证</w:t>
      </w:r>
      <w:r>
        <w:rPr>
          <w:rFonts w:hint="eastAsia" w:cs="宋体"/>
          <w:sz w:val="24"/>
          <w:szCs w:val="24"/>
          <w:lang w:val="en-US" w:eastAsia="zh-CN"/>
        </w:rPr>
        <w:t>软件</w:t>
      </w:r>
      <w:r>
        <w:rPr>
          <w:rFonts w:hint="eastAsia" w:ascii="宋体" w:hAnsi="宋体" w:eastAsia="宋体" w:cs="宋体"/>
          <w:sz w:val="24"/>
          <w:szCs w:val="24"/>
          <w:lang w:val="en-US" w:eastAsia="zh-CN"/>
        </w:rPr>
        <w:t>上招聘信息的真实性与规范性。</w:t>
      </w:r>
      <w:r>
        <w:rPr>
          <w:rFonts w:hint="eastAsia" w:cs="宋体"/>
          <w:sz w:val="24"/>
          <w:szCs w:val="24"/>
          <w:lang w:val="en-US" w:eastAsia="zh-CN"/>
        </w:rPr>
        <w:t>企业端发布岗位页面</w:t>
      </w:r>
      <w:r>
        <w:rPr>
          <w:rFonts w:ascii="宋体" w:hAnsi="宋体" w:eastAsia="宋体" w:cs="宋体"/>
          <w:sz w:val="24"/>
          <w:szCs w:val="24"/>
        </w:rPr>
        <w:t>如图2</w:t>
      </w:r>
      <w:r>
        <w:rPr>
          <w:rFonts w:hint="eastAsia" w:cs="宋体"/>
          <w:sz w:val="24"/>
          <w:szCs w:val="24"/>
          <w:lang w:val="en-US" w:eastAsia="zh-CN"/>
        </w:rPr>
        <w:t>3</w:t>
      </w:r>
      <w:r>
        <w:rPr>
          <w:rFonts w:ascii="宋体" w:hAnsi="宋体" w:eastAsia="宋体" w:cs="宋体"/>
          <w:sz w:val="24"/>
          <w:szCs w:val="24"/>
        </w:rPr>
        <w:t>所示。</w:t>
      </w:r>
    </w:p>
    <w:tbl>
      <w:tblPr>
        <w:tblStyle w:val="3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5"/>
        <w:gridCol w:w="4425"/>
      </w:tblGrid>
      <w:tr w14:paraId="5310E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7" w:type="dxa"/>
          </w:tcPr>
          <w:p w14:paraId="2933DBB2">
            <w:pPr>
              <w:jc w:val="center"/>
              <w:rPr>
                <w:rFonts w:hint="eastAsia" w:eastAsia="宋体"/>
                <w:lang w:eastAsia="zh-CN"/>
              </w:rPr>
            </w:pPr>
            <w:r>
              <w:rPr>
                <w:rFonts w:hint="eastAsia" w:eastAsia="宋体"/>
                <w:lang w:eastAsia="zh-CN"/>
              </w:rPr>
              <w:drawing>
                <wp:inline distT="0" distB="0" distL="114300" distR="114300">
                  <wp:extent cx="2361565" cy="6790055"/>
                  <wp:effectExtent l="0" t="0" r="635" b="4445"/>
                  <wp:docPr id="6" name="图片 6" descr="发布岗位 - 职来企业端 375w ligh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发布岗位 - 职来企业端 375w light(1)"/>
                          <pic:cNvPicPr>
                            <a:picLocks noChangeAspect="1"/>
                          </pic:cNvPicPr>
                        </pic:nvPicPr>
                        <pic:blipFill>
                          <a:blip r:embed="rId37"/>
                          <a:srcRect t="2052"/>
                          <a:stretch>
                            <a:fillRect/>
                          </a:stretch>
                        </pic:blipFill>
                        <pic:spPr>
                          <a:xfrm>
                            <a:off x="0" y="0"/>
                            <a:ext cx="2361565" cy="6790055"/>
                          </a:xfrm>
                          <a:prstGeom prst="rect">
                            <a:avLst/>
                          </a:prstGeom>
                        </pic:spPr>
                      </pic:pic>
                    </a:graphicData>
                  </a:graphic>
                </wp:inline>
              </w:drawing>
            </w:r>
          </w:p>
        </w:tc>
        <w:tc>
          <w:tcPr>
            <w:tcW w:w="4317" w:type="dxa"/>
          </w:tcPr>
          <w:p w14:paraId="57F663B6">
            <w:pPr>
              <w:jc w:val="center"/>
              <w:rPr>
                <w:rFonts w:hint="eastAsia" w:eastAsia="宋体"/>
                <w:lang w:eastAsia="zh-CN"/>
              </w:rPr>
            </w:pPr>
            <w:r>
              <w:rPr>
                <w:rFonts w:hint="eastAsia" w:eastAsia="宋体"/>
                <w:lang w:eastAsia="zh-CN"/>
              </w:rPr>
              <w:drawing>
                <wp:inline distT="0" distB="0" distL="114300" distR="114300">
                  <wp:extent cx="2361565" cy="6844030"/>
                  <wp:effectExtent l="0" t="0" r="635" b="1270"/>
                  <wp:docPr id="11" name="图片 11" descr="发布岗位 - 职来企业端 375w ligh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发布岗位 - 职来企业端 375w light(2)"/>
                          <pic:cNvPicPr>
                            <a:picLocks noChangeAspect="1"/>
                          </pic:cNvPicPr>
                        </pic:nvPicPr>
                        <pic:blipFill>
                          <a:blip r:embed="rId38"/>
                          <a:stretch>
                            <a:fillRect/>
                          </a:stretch>
                        </pic:blipFill>
                        <pic:spPr>
                          <a:xfrm>
                            <a:off x="0" y="0"/>
                            <a:ext cx="2361565" cy="6844030"/>
                          </a:xfrm>
                          <a:prstGeom prst="rect">
                            <a:avLst/>
                          </a:prstGeom>
                        </pic:spPr>
                      </pic:pic>
                    </a:graphicData>
                  </a:graphic>
                </wp:inline>
              </w:drawing>
            </w:r>
          </w:p>
        </w:tc>
      </w:tr>
    </w:tbl>
    <w:p w14:paraId="65744233">
      <w:pPr>
        <w:spacing w:after="80" w:line="240" w:lineRule="auto"/>
        <w:jc w:val="center"/>
        <w:rPr>
          <w:rFonts w:hint="eastAsia"/>
        </w:rPr>
      </w:pPr>
      <w:r>
        <w:rPr>
          <w:b/>
          <w:sz w:val="20"/>
        </w:rPr>
        <w:t>图2</w:t>
      </w:r>
      <w:r>
        <w:rPr>
          <w:rFonts w:hint="eastAsia"/>
          <w:b/>
          <w:sz w:val="20"/>
          <w:lang w:val="en-US" w:eastAsia="zh-CN"/>
        </w:rPr>
        <w:t>3</w:t>
      </w:r>
      <w:r>
        <w:rPr>
          <w:b/>
          <w:sz w:val="20"/>
        </w:rPr>
        <w:t xml:space="preserve"> 企业端发布岗位</w:t>
      </w:r>
    </w:p>
    <w:p w14:paraId="2BCE28A6">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default" w:ascii="宋体" w:hAnsi="宋体" w:eastAsia="宋体" w:cs="宋体"/>
          <w:sz w:val="24"/>
          <w:szCs w:val="24"/>
          <w:lang w:val="en-US"/>
        </w:rPr>
      </w:pPr>
      <w:r>
        <w:rPr>
          <w:rFonts w:hint="eastAsia" w:ascii="宋体" w:hAnsi="宋体" w:eastAsia="宋体" w:cs="宋体"/>
          <w:sz w:val="24"/>
          <w:szCs w:val="24"/>
          <w:lang w:val="en-US" w:eastAsia="zh-CN"/>
        </w:rPr>
        <w:t>人才推荐功能基于候选人评分卡与双向匹配规则，为企业在招岗位主动匹配并推送高适配度的候选人，将符合条件的求职者集中呈现，避免HR在海量简历中盲目筛选；推荐列表按匹配度综合排序，展示候选人的核心信息与评分概况，并附上推荐理由拆解，帮助HR理解</w:t>
      </w:r>
      <w:r>
        <w:rPr>
          <w:rFonts w:hint="eastAsia" w:cs="宋体"/>
          <w:sz w:val="24"/>
          <w:szCs w:val="24"/>
          <w:lang w:val="en-US" w:eastAsia="zh-CN"/>
        </w:rPr>
        <w:t>软件</w:t>
      </w:r>
      <w:r>
        <w:rPr>
          <w:rFonts w:hint="eastAsia" w:ascii="宋体" w:hAnsi="宋体" w:eastAsia="宋体" w:cs="宋体"/>
          <w:sz w:val="24"/>
          <w:szCs w:val="24"/>
          <w:lang w:val="en-US" w:eastAsia="zh-CN"/>
        </w:rPr>
        <w:t>的推荐依据。HR可对推荐候选人一键发起沟通、邀请面试或收入候选池，显著提升人才触达与筛选效率。</w:t>
      </w:r>
      <w:r>
        <w:rPr>
          <w:rFonts w:hint="eastAsia" w:cs="宋体"/>
          <w:sz w:val="24"/>
          <w:szCs w:val="24"/>
          <w:lang w:val="en-US" w:eastAsia="zh-CN"/>
        </w:rPr>
        <w:t>企业端人才推荐页面如图24所示。</w:t>
      </w:r>
    </w:p>
    <w:tbl>
      <w:tblPr>
        <w:tblStyle w:val="3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5"/>
        <w:gridCol w:w="4425"/>
      </w:tblGrid>
      <w:tr w14:paraId="38DD0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7" w:type="dxa"/>
          </w:tcPr>
          <w:p w14:paraId="3320F95F">
            <w:pPr>
              <w:jc w:val="center"/>
              <w:rPr>
                <w:rFonts w:hint="eastAsia" w:eastAsia="宋体"/>
                <w:lang w:eastAsia="zh-CN"/>
              </w:rPr>
            </w:pPr>
            <w:r>
              <w:rPr>
                <w:rFonts w:hint="eastAsia" w:eastAsia="宋体"/>
                <w:lang w:eastAsia="zh-CN"/>
              </w:rPr>
              <w:drawing>
                <wp:inline distT="0" distB="0" distL="114300" distR="114300">
                  <wp:extent cx="2233295" cy="5067300"/>
                  <wp:effectExtent l="0" t="0" r="1905" b="0"/>
                  <wp:docPr id="28" name="图片 28" descr="人才推荐（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人才推荐（上）"/>
                          <pic:cNvPicPr>
                            <a:picLocks noChangeAspect="1"/>
                          </pic:cNvPicPr>
                        </pic:nvPicPr>
                        <pic:blipFill>
                          <a:blip r:embed="rId39"/>
                          <a:srcRect t="3358"/>
                          <a:stretch>
                            <a:fillRect/>
                          </a:stretch>
                        </pic:blipFill>
                        <pic:spPr>
                          <a:xfrm>
                            <a:off x="0" y="0"/>
                            <a:ext cx="2233295" cy="5067300"/>
                          </a:xfrm>
                          <a:prstGeom prst="rect">
                            <a:avLst/>
                          </a:prstGeom>
                        </pic:spPr>
                      </pic:pic>
                    </a:graphicData>
                  </a:graphic>
                </wp:inline>
              </w:drawing>
            </w:r>
          </w:p>
        </w:tc>
        <w:tc>
          <w:tcPr>
            <w:tcW w:w="4317" w:type="dxa"/>
          </w:tcPr>
          <w:p w14:paraId="00315D8D">
            <w:pPr>
              <w:jc w:val="center"/>
              <w:rPr>
                <w:rFonts w:hint="eastAsia" w:eastAsia="宋体"/>
                <w:lang w:eastAsia="zh-CN"/>
              </w:rPr>
            </w:pPr>
            <w:r>
              <w:rPr>
                <w:rFonts w:hint="eastAsia" w:eastAsia="宋体"/>
                <w:lang w:eastAsia="zh-CN"/>
              </w:rPr>
              <w:drawing>
                <wp:inline distT="0" distB="0" distL="114300" distR="114300">
                  <wp:extent cx="2179320" cy="5038725"/>
                  <wp:effectExtent l="0" t="0" r="5080" b="3175"/>
                  <wp:docPr id="29" name="图片 29" descr="人才推荐（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人才推荐（下）"/>
                          <pic:cNvPicPr>
                            <a:picLocks noChangeAspect="1"/>
                          </pic:cNvPicPr>
                        </pic:nvPicPr>
                        <pic:blipFill>
                          <a:blip r:embed="rId40"/>
                          <a:stretch>
                            <a:fillRect/>
                          </a:stretch>
                        </pic:blipFill>
                        <pic:spPr>
                          <a:xfrm>
                            <a:off x="0" y="0"/>
                            <a:ext cx="2179320" cy="5038725"/>
                          </a:xfrm>
                          <a:prstGeom prst="rect">
                            <a:avLst/>
                          </a:prstGeom>
                        </pic:spPr>
                      </pic:pic>
                    </a:graphicData>
                  </a:graphic>
                </wp:inline>
              </w:drawing>
            </w:r>
          </w:p>
        </w:tc>
      </w:tr>
    </w:tbl>
    <w:p w14:paraId="398FB579">
      <w:pPr>
        <w:spacing w:after="80" w:line="240" w:lineRule="auto"/>
        <w:jc w:val="center"/>
        <w:rPr>
          <w:rFonts w:hint="eastAsia"/>
        </w:rPr>
      </w:pPr>
      <w:r>
        <w:rPr>
          <w:b/>
          <w:sz w:val="20"/>
        </w:rPr>
        <w:t>图24 企业端人才推荐</w:t>
      </w:r>
    </w:p>
    <w:p w14:paraId="18F4990E">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点击候选人卡片进入候选人详情页，</w:t>
      </w:r>
      <w:r>
        <w:rPr>
          <w:rFonts w:ascii="宋体" w:hAnsi="宋体" w:eastAsia="宋体" w:cs="宋体"/>
          <w:sz w:val="24"/>
          <w:szCs w:val="24"/>
        </w:rPr>
        <w:t>页面顶部展示候选人基础信息，包含姓名、年龄性别、在岗状态、岗位、工作经验、期望工作地点、薪资及薪酬福利相关信息，支持解锁联系方式和发起沟通操作。综合评分区域通过</w:t>
      </w:r>
      <w:r>
        <w:rPr>
          <w:rFonts w:hint="eastAsia" w:cs="宋体"/>
          <w:sz w:val="24"/>
          <w:szCs w:val="24"/>
          <w:lang w:val="en-US" w:eastAsia="zh-CN"/>
        </w:rPr>
        <w:t>八维</w:t>
      </w:r>
      <w:r>
        <w:rPr>
          <w:rFonts w:ascii="宋体" w:hAnsi="宋体" w:eastAsia="宋体" w:cs="宋体"/>
          <w:sz w:val="24"/>
          <w:szCs w:val="24"/>
        </w:rPr>
        <w:t>图展示多维度能力情况，输出综合匹配度，标注匹配等级以及该候选人超越同</w:t>
      </w:r>
      <w:r>
        <w:rPr>
          <w:rFonts w:hint="eastAsia" w:cs="宋体"/>
          <w:sz w:val="24"/>
          <w:szCs w:val="24"/>
          <w:lang w:val="en-US" w:eastAsia="zh-CN"/>
        </w:rPr>
        <w:t>软件</w:t>
      </w:r>
      <w:r>
        <w:rPr>
          <w:rFonts w:ascii="宋体" w:hAnsi="宋体" w:eastAsia="宋体" w:cs="宋体"/>
          <w:sz w:val="24"/>
          <w:szCs w:val="24"/>
        </w:rPr>
        <w:t>候选人占比；评分趋势图表展示候选人近6个月评分变化情况。页面底部提供收藏、邀请面试、发起沟通功能按钮，HR浏览候选人信息后，可直接在当前页面完成人才评估与招聘推进操作，帮助HR快速评估候选人与岗位的匹配情况，提升招聘工作效率。</w:t>
      </w:r>
      <w:r>
        <w:rPr>
          <w:rFonts w:hint="eastAsia" w:cs="宋体"/>
          <w:sz w:val="24"/>
          <w:szCs w:val="24"/>
          <w:lang w:val="en-US" w:eastAsia="zh-CN"/>
        </w:rPr>
        <w:t>候选人详情页面</w:t>
      </w:r>
      <w:r>
        <w:rPr>
          <w:rFonts w:hint="eastAsia" w:ascii="宋体" w:hAnsi="宋体" w:eastAsia="宋体" w:cs="宋体"/>
          <w:sz w:val="24"/>
          <w:szCs w:val="24"/>
          <w:lang w:val="en-US" w:eastAsia="zh-CN"/>
        </w:rPr>
        <w:t>如图25所示</w:t>
      </w:r>
      <w:r>
        <w:rPr>
          <w:rFonts w:hint="eastAsia" w:cs="宋体"/>
          <w:sz w:val="24"/>
          <w:szCs w:val="24"/>
          <w:lang w:val="en-US" w:eastAsia="zh-CN"/>
        </w:rPr>
        <w:t>。</w:t>
      </w:r>
    </w:p>
    <w:p w14:paraId="6480ABA4">
      <w:pPr>
        <w:spacing w:before="40" w:after="0" w:line="240" w:lineRule="auto"/>
        <w:jc w:val="center"/>
        <w:rPr>
          <w:rFonts w:hint="eastAsia"/>
        </w:rPr>
      </w:pPr>
      <w:r>
        <w:drawing>
          <wp:inline distT="0" distB="0" distL="0" distR="0">
            <wp:extent cx="2286000" cy="4220845"/>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41"/>
                    <a:srcRect t="4717"/>
                    <a:stretch>
                      <a:fillRect/>
                    </a:stretch>
                  </pic:blipFill>
                  <pic:spPr>
                    <a:xfrm>
                      <a:off x="0" y="0"/>
                      <a:ext cx="2286000" cy="4220845"/>
                    </a:xfrm>
                    <a:prstGeom prst="rect">
                      <a:avLst/>
                    </a:prstGeom>
                  </pic:spPr>
                </pic:pic>
              </a:graphicData>
            </a:graphic>
          </wp:inline>
        </w:drawing>
      </w:r>
    </w:p>
    <w:p w14:paraId="3745A18C">
      <w:pPr>
        <w:spacing w:after="80" w:line="240" w:lineRule="auto"/>
        <w:jc w:val="center"/>
        <w:rPr>
          <w:rFonts w:hint="eastAsia"/>
        </w:rPr>
      </w:pPr>
      <w:r>
        <w:rPr>
          <w:b/>
          <w:sz w:val="20"/>
        </w:rPr>
        <w:t>图25 候选人详情</w:t>
      </w:r>
    </w:p>
    <w:p w14:paraId="05535214">
      <w:pPr>
        <w:pStyle w:val="4"/>
        <w:spacing w:before="160" w:after="80" w:line="240" w:lineRule="auto"/>
        <w:rPr>
          <w:color w:val="auto"/>
        </w:rPr>
      </w:pPr>
      <w:bookmarkStart w:id="12" w:name="_Toc239695482"/>
      <w:r>
        <w:rPr>
          <w:rFonts w:ascii="黑体" w:hAnsi="黑体" w:eastAsia="黑体"/>
          <w:color w:val="auto"/>
          <w:sz w:val="28"/>
        </w:rPr>
        <w:t>（七）企业端-候选人与沟通</w:t>
      </w:r>
      <w:bookmarkEnd w:id="12"/>
    </w:p>
    <w:p w14:paraId="4F8FACFC">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企业端沟通列表页按会话维度聚合企业与求职者的全部聊天会话</w:t>
      </w:r>
      <w:r>
        <w:rPr>
          <w:rFonts w:hint="eastAsia" w:cs="宋体"/>
          <w:sz w:val="24"/>
          <w:szCs w:val="24"/>
          <w:lang w:val="en-US" w:eastAsia="zh-CN"/>
        </w:rPr>
        <w:t>。</w:t>
      </w:r>
      <w:r>
        <w:rPr>
          <w:rFonts w:ascii="宋体" w:hAnsi="宋体" w:eastAsia="宋体" w:cs="宋体"/>
          <w:sz w:val="24"/>
          <w:szCs w:val="24"/>
        </w:rPr>
        <w:t>页面顶部展示待处理统计模块，区分待回复、待评分类别，展示对应人数与24小时内回复率。页面提供全部、待回复、面试邀请、Offer沟通等会话分类标签，内置候选人搜索框，可快速检索目标人员。会话条目展示候选人姓名、岗位、会话最新消息、消息时间，通过标识展示双向匹配、对方感兴趣等状态，未读消息使用红点标记，部分会话直接展示去评分、邀请面试等快捷操作按钮；同时设置待评分提醒弹窗，提示HR完成面试评分。页面底部设有批量发邀请、批量发Offer、面试安排、群发通知功能入口，结合底部导航栏切换模块，便于HR集中处理候选人沟通、面试邀约、面试评分等招聘业务，提升招聘沟通处理效率。</w:t>
      </w:r>
      <w:r>
        <w:rPr>
          <w:rFonts w:hint="eastAsia" w:cs="宋体"/>
          <w:sz w:val="24"/>
          <w:szCs w:val="24"/>
          <w:lang w:val="en-US" w:eastAsia="zh-CN"/>
        </w:rPr>
        <w:t>企业端沟通页面</w:t>
      </w:r>
      <w:r>
        <w:rPr>
          <w:rFonts w:ascii="宋体" w:hAnsi="宋体" w:eastAsia="宋体" w:cs="宋体"/>
          <w:sz w:val="24"/>
          <w:szCs w:val="24"/>
        </w:rPr>
        <w:t>如图26所示</w:t>
      </w:r>
      <w:r>
        <w:rPr>
          <w:rFonts w:hint="eastAsia" w:cs="宋体"/>
          <w:sz w:val="24"/>
          <w:szCs w:val="24"/>
          <w:lang w:eastAsia="zh-CN"/>
        </w:rPr>
        <w:t>。</w:t>
      </w:r>
    </w:p>
    <w:p w14:paraId="227DEADF">
      <w:pPr>
        <w:spacing w:before="40" w:after="0" w:line="240" w:lineRule="auto"/>
        <w:jc w:val="center"/>
        <w:rPr>
          <w:rFonts w:hint="eastAsia" w:eastAsia="宋体"/>
          <w:lang w:eastAsia="zh-CN"/>
        </w:rPr>
      </w:pPr>
      <w:r>
        <w:rPr>
          <w:rFonts w:hint="eastAsia" w:eastAsia="宋体"/>
          <w:lang w:eastAsia="zh-CN"/>
        </w:rPr>
        <w:drawing>
          <wp:inline distT="0" distB="0" distL="114300" distR="114300">
            <wp:extent cx="2291715" cy="4983480"/>
            <wp:effectExtent l="0" t="0" r="6985" b="7620"/>
            <wp:docPr id="25" name="图片 25" descr="61c1923d1a9f466a87e917dbeeddf6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61c1923d1a9f466a87e917dbeeddf68c"/>
                    <pic:cNvPicPr>
                      <a:picLocks noChangeAspect="1"/>
                    </pic:cNvPicPr>
                  </pic:nvPicPr>
                  <pic:blipFill>
                    <a:blip r:embed="rId42"/>
                    <a:srcRect t="3139"/>
                    <a:stretch>
                      <a:fillRect/>
                    </a:stretch>
                  </pic:blipFill>
                  <pic:spPr>
                    <a:xfrm>
                      <a:off x="0" y="0"/>
                      <a:ext cx="2291715" cy="4983480"/>
                    </a:xfrm>
                    <a:prstGeom prst="rect">
                      <a:avLst/>
                    </a:prstGeom>
                  </pic:spPr>
                </pic:pic>
              </a:graphicData>
            </a:graphic>
          </wp:inline>
        </w:drawing>
      </w:r>
    </w:p>
    <w:p w14:paraId="53A83D1C">
      <w:pPr>
        <w:spacing w:after="80" w:line="240" w:lineRule="auto"/>
        <w:jc w:val="center"/>
        <w:rPr>
          <w:rFonts w:hint="eastAsia"/>
        </w:rPr>
      </w:pPr>
      <w:r>
        <w:rPr>
          <w:b/>
          <w:sz w:val="20"/>
        </w:rPr>
        <w:t>图26 企业端沟通列表</w:t>
      </w:r>
    </w:p>
    <w:p w14:paraId="35F5192C">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eastAsia="zh-CN"/>
        </w:rPr>
      </w:pPr>
      <w:r>
        <w:rPr>
          <w:rFonts w:ascii="宋体" w:hAnsi="宋体" w:eastAsia="宋体" w:cs="宋体"/>
          <w:sz w:val="24"/>
          <w:szCs w:val="24"/>
        </w:rPr>
        <w:t>点击会话进入HR与候选人聊天页，支持文字、表情、图片与文件传输，并可在聊天中直接发起面试邀请或发送Offer。</w:t>
      </w:r>
      <w:r>
        <w:rPr>
          <w:rFonts w:hint="eastAsia" w:ascii="宋体" w:hAnsi="宋体" w:eastAsia="宋体" w:cs="宋体"/>
          <w:sz w:val="24"/>
          <w:szCs w:val="24"/>
          <w:lang w:val="en-US" w:eastAsia="zh-CN"/>
        </w:rPr>
        <w:t>聊天记录持久化存储，便于双方随时查阅与追溯沟通细节。</w:t>
      </w:r>
      <w:r>
        <w:rPr>
          <w:rFonts w:ascii="宋体" w:hAnsi="宋体" w:eastAsia="宋体" w:cs="宋体"/>
          <w:kern w:val="0"/>
          <w:sz w:val="24"/>
          <w:szCs w:val="24"/>
          <w:lang w:val="en-US" w:eastAsia="zh-CN" w:bidi="ar"/>
        </w:rPr>
        <w:t>求职者可在聊天页面接收HR发送的面试邀请与Offer。HR发起操作后，</w:t>
      </w:r>
      <w:r>
        <w:rPr>
          <w:rFonts w:hint="eastAsia" w:cs="宋体"/>
          <w:kern w:val="0"/>
          <w:sz w:val="24"/>
          <w:szCs w:val="24"/>
          <w:lang w:val="en-US" w:eastAsia="zh-CN" w:bidi="ar"/>
        </w:rPr>
        <w:t>软件</w:t>
      </w:r>
      <w:r>
        <w:rPr>
          <w:rFonts w:ascii="宋体" w:hAnsi="宋体" w:eastAsia="宋体" w:cs="宋体"/>
          <w:kern w:val="0"/>
          <w:sz w:val="24"/>
          <w:szCs w:val="24"/>
          <w:lang w:val="en-US" w:eastAsia="zh-CN" w:bidi="ar"/>
        </w:rPr>
        <w:t>自动生成业务记录并推送提醒，招聘沟通与业务流程相互联动。所有聊天记录永久保存，求职者可随时查阅沟通信息，沟通响应更及时，招聘流程也更加规范。</w:t>
      </w:r>
      <w:r>
        <w:rPr>
          <w:rFonts w:hint="eastAsia" w:ascii="宋体" w:hAnsi="宋体" w:eastAsia="宋体" w:cs="宋体"/>
          <w:sz w:val="24"/>
          <w:szCs w:val="24"/>
          <w:lang w:val="en-US" w:eastAsia="zh-CN"/>
        </w:rPr>
        <w:t>候选人</w:t>
      </w:r>
      <w:r>
        <w:rPr>
          <w:rFonts w:hint="eastAsia" w:cs="宋体"/>
          <w:sz w:val="24"/>
          <w:szCs w:val="24"/>
          <w:lang w:val="en-US" w:eastAsia="zh-CN"/>
        </w:rPr>
        <w:t>与HR</w:t>
      </w:r>
      <w:r>
        <w:rPr>
          <w:rFonts w:hint="eastAsia" w:ascii="宋体" w:hAnsi="宋体" w:eastAsia="宋体" w:cs="宋体"/>
          <w:sz w:val="24"/>
          <w:szCs w:val="24"/>
          <w:lang w:val="en-US" w:eastAsia="zh-CN"/>
        </w:rPr>
        <w:t>聊天页面</w:t>
      </w:r>
      <w:r>
        <w:rPr>
          <w:rFonts w:ascii="宋体" w:hAnsi="宋体" w:eastAsia="宋体" w:cs="宋体"/>
          <w:sz w:val="24"/>
          <w:szCs w:val="24"/>
        </w:rPr>
        <w:t>如图27所示</w:t>
      </w:r>
      <w:r>
        <w:rPr>
          <w:rFonts w:hint="eastAsia" w:ascii="宋体" w:hAnsi="宋体" w:eastAsia="宋体" w:cs="宋体"/>
          <w:sz w:val="24"/>
          <w:szCs w:val="24"/>
          <w:lang w:eastAsia="zh-CN"/>
        </w:rPr>
        <w:t>。</w:t>
      </w:r>
    </w:p>
    <w:p w14:paraId="100A4835">
      <w:pPr>
        <w:spacing w:before="0" w:after="120" w:line="240" w:lineRule="auto"/>
        <w:jc w:val="center"/>
      </w:pPr>
      <w:r>
        <w:drawing>
          <wp:inline distT="0" distB="0" distL="0" distR="0">
            <wp:extent cx="1851025" cy="5380990"/>
            <wp:effectExtent l="0" t="0" r="3175"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43"/>
                    <a:srcRect l="8428" t="6922" r="7797" b="4552"/>
                    <a:stretch>
                      <a:fillRect/>
                    </a:stretch>
                  </pic:blipFill>
                  <pic:spPr>
                    <a:xfrm>
                      <a:off x="0" y="0"/>
                      <a:ext cx="1851025" cy="5380990"/>
                    </a:xfrm>
                    <a:prstGeom prst="rect">
                      <a:avLst/>
                    </a:prstGeom>
                  </pic:spPr>
                </pic:pic>
              </a:graphicData>
            </a:graphic>
          </wp:inline>
        </w:drawing>
      </w:r>
    </w:p>
    <w:p w14:paraId="096BFD96">
      <w:pPr>
        <w:spacing w:after="80" w:line="240" w:lineRule="auto"/>
        <w:jc w:val="center"/>
        <w:rPr>
          <w:b/>
          <w:sz w:val="20"/>
        </w:rPr>
      </w:pPr>
      <w:r>
        <w:rPr>
          <w:b/>
          <w:sz w:val="20"/>
        </w:rPr>
        <w:t>图27 候选人</w:t>
      </w:r>
      <w:r>
        <w:rPr>
          <w:rFonts w:hint="eastAsia"/>
          <w:b/>
          <w:sz w:val="20"/>
          <w:lang w:val="en-US" w:eastAsia="zh-CN"/>
        </w:rPr>
        <w:t>与HR</w:t>
      </w:r>
      <w:r>
        <w:rPr>
          <w:b/>
          <w:sz w:val="20"/>
        </w:rPr>
        <w:t>聊天</w:t>
      </w:r>
    </w:p>
    <w:p w14:paraId="50BB4E82">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面试评分模块供HR在面试结束后对候选人的综合表现进行结构化打分，</w:t>
      </w:r>
      <w:r>
        <w:rPr>
          <w:rFonts w:ascii="宋体" w:hAnsi="宋体" w:eastAsia="宋体" w:cs="宋体"/>
          <w:sz w:val="24"/>
          <w:szCs w:val="24"/>
        </w:rPr>
        <w:t>页面顶部展示候选人姓名、应聘岗位、面试轮次、面试官及面试时间；下方支持通过滑动控件，从专业技能、项目经验、逻辑思维、沟通表达、团队协作、学习能力、抗压能力、文化匹配八个维度进行1-100分打分，每项附带能力说明标签。</w:t>
      </w:r>
      <w:r>
        <w:rPr>
          <w:rFonts w:hint="eastAsia" w:cs="宋体"/>
          <w:sz w:val="24"/>
          <w:szCs w:val="24"/>
          <w:lang w:val="en-US" w:eastAsia="zh-CN"/>
        </w:rPr>
        <w:t>软件</w:t>
      </w:r>
      <w:r>
        <w:rPr>
          <w:rFonts w:ascii="宋体" w:hAnsi="宋体" w:eastAsia="宋体" w:cs="宋体"/>
          <w:sz w:val="24"/>
          <w:szCs w:val="24"/>
        </w:rPr>
        <w:t>自动计算综合得分，展示候选人排名、岗位匹配度与面试推进建议。</w:t>
      </w:r>
      <w:r>
        <w:rPr>
          <w:rFonts w:hint="eastAsia" w:ascii="宋体" w:hAnsi="宋体" w:eastAsia="宋体" w:cs="宋体"/>
          <w:sz w:val="24"/>
          <w:szCs w:val="24"/>
          <w:lang w:val="en-US" w:eastAsia="zh-CN"/>
        </w:rPr>
        <w:t>评分需在合理时效内提交，</w:t>
      </w:r>
      <w:r>
        <w:rPr>
          <w:rFonts w:hint="eastAsia" w:cs="宋体"/>
          <w:sz w:val="24"/>
          <w:szCs w:val="24"/>
          <w:lang w:val="en-US" w:eastAsia="zh-CN"/>
        </w:rPr>
        <w:t>软件</w:t>
      </w:r>
      <w:r>
        <w:rPr>
          <w:rFonts w:hint="eastAsia" w:ascii="宋体" w:hAnsi="宋体" w:eastAsia="宋体" w:cs="宋体"/>
          <w:sz w:val="24"/>
          <w:szCs w:val="24"/>
          <w:lang w:val="en-US" w:eastAsia="zh-CN"/>
        </w:rPr>
        <w:t>会结合评分行为进行防刷校验以保证评价的可信度。提交后评分结果自动沉淀至候选人的评分卡与评价详情中，作为匹配度计算与后续招聘决策的重要数据来源，并支持多次面试评分的累积与对比。</w:t>
      </w:r>
      <w:r>
        <w:rPr>
          <w:rFonts w:hint="eastAsia" w:cs="宋体"/>
          <w:sz w:val="24"/>
          <w:szCs w:val="24"/>
          <w:lang w:val="en-US" w:eastAsia="zh-CN"/>
        </w:rPr>
        <w:t>面试评分页面如图28所示。</w:t>
      </w:r>
    </w:p>
    <w:tbl>
      <w:tblPr>
        <w:tblStyle w:val="3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5"/>
        <w:gridCol w:w="4425"/>
      </w:tblGrid>
      <w:tr w14:paraId="20E24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7" w:type="dxa"/>
          </w:tcPr>
          <w:p w14:paraId="020D880A">
            <w:pPr>
              <w:jc w:val="center"/>
            </w:pPr>
            <w:r>
              <w:drawing>
                <wp:inline distT="0" distB="0" distL="114300" distR="114300">
                  <wp:extent cx="2011680" cy="7438390"/>
                  <wp:effectExtent l="0" t="0" r="7620" b="381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pic:cNvPicPr>
                        </pic:nvPicPr>
                        <pic:blipFill>
                          <a:blip r:embed="rId44"/>
                          <a:srcRect t="2269"/>
                          <a:stretch>
                            <a:fillRect/>
                          </a:stretch>
                        </pic:blipFill>
                        <pic:spPr>
                          <a:xfrm>
                            <a:off x="0" y="0"/>
                            <a:ext cx="2011680" cy="7438390"/>
                          </a:xfrm>
                          <a:prstGeom prst="rect">
                            <a:avLst/>
                          </a:prstGeom>
                        </pic:spPr>
                      </pic:pic>
                    </a:graphicData>
                  </a:graphic>
                </wp:inline>
              </w:drawing>
            </w:r>
          </w:p>
        </w:tc>
        <w:tc>
          <w:tcPr>
            <w:tcW w:w="4317" w:type="dxa"/>
          </w:tcPr>
          <w:p w14:paraId="0E4B1257">
            <w:pPr>
              <w:jc w:val="center"/>
            </w:pPr>
            <w:r>
              <w:drawing>
                <wp:inline distT="0" distB="0" distL="114300" distR="114300">
                  <wp:extent cx="2011680" cy="7447280"/>
                  <wp:effectExtent l="0" t="0" r="7620"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pic:cNvPicPr>
                        </pic:nvPicPr>
                        <pic:blipFill>
                          <a:blip r:embed="rId45"/>
                          <a:stretch>
                            <a:fillRect/>
                          </a:stretch>
                        </pic:blipFill>
                        <pic:spPr>
                          <a:xfrm>
                            <a:off x="0" y="0"/>
                            <a:ext cx="2011680" cy="7447280"/>
                          </a:xfrm>
                          <a:prstGeom prst="rect">
                            <a:avLst/>
                          </a:prstGeom>
                        </pic:spPr>
                      </pic:pic>
                    </a:graphicData>
                  </a:graphic>
                </wp:inline>
              </w:drawing>
            </w:r>
          </w:p>
        </w:tc>
      </w:tr>
    </w:tbl>
    <w:p w14:paraId="784E3E56">
      <w:pPr>
        <w:spacing w:after="80" w:line="240" w:lineRule="auto"/>
        <w:jc w:val="center"/>
        <w:rPr>
          <w:b/>
          <w:sz w:val="20"/>
        </w:rPr>
      </w:pPr>
      <w:r>
        <w:rPr>
          <w:b/>
          <w:sz w:val="20"/>
        </w:rPr>
        <w:t>图28 面试评分</w:t>
      </w:r>
    </w:p>
    <w:p w14:paraId="64492A86">
      <w:pPr>
        <w:spacing w:after="40" w:line="240" w:lineRule="auto"/>
        <w:rPr>
          <w:rFonts w:hint="eastAsia"/>
        </w:rPr>
      </w:pPr>
    </w:p>
    <w:p w14:paraId="2D93C031">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ascii="宋体" w:hAnsi="宋体" w:eastAsia="宋体" w:cs="宋体"/>
          <w:sz w:val="24"/>
          <w:szCs w:val="24"/>
        </w:rPr>
        <w:t>进入HR评价详情页面，首先汇总展示多家企业HR面试后留下的历史评价</w:t>
      </w:r>
      <w:r>
        <w:rPr>
          <w:rFonts w:hint="eastAsia" w:ascii="宋体" w:hAnsi="宋体" w:eastAsia="宋体" w:cs="宋体"/>
          <w:sz w:val="24"/>
          <w:szCs w:val="24"/>
          <w:lang w:eastAsia="zh-CN"/>
        </w:rPr>
        <w:t>，</w:t>
      </w:r>
      <w:r>
        <w:rPr>
          <w:rFonts w:ascii="宋体" w:hAnsi="宋体" w:eastAsia="宋体" w:cs="宋体"/>
          <w:sz w:val="24"/>
          <w:szCs w:val="24"/>
          <w:lang w:val="en-US" w:eastAsia="zh-CN"/>
        </w:rPr>
        <w:t>该分数基于过往多名HR的面试评价汇总生成。页面</w:t>
      </w:r>
      <w:r>
        <w:rPr>
          <w:rFonts w:hint="eastAsia" w:ascii="宋体" w:hAnsi="宋体" w:eastAsia="宋体" w:cs="宋体"/>
          <w:sz w:val="24"/>
          <w:szCs w:val="24"/>
          <w:lang w:val="en-US" w:eastAsia="zh-CN"/>
        </w:rPr>
        <w:t>还</w:t>
      </w:r>
      <w:r>
        <w:rPr>
          <w:rFonts w:ascii="宋体" w:hAnsi="宋体" w:eastAsia="宋体" w:cs="宋体"/>
          <w:sz w:val="24"/>
          <w:szCs w:val="24"/>
          <w:lang w:val="en-US" w:eastAsia="zh-CN"/>
        </w:rPr>
        <w:t>展示近六个月评分变化趋势，同时呈现专业能力、沟通表达、团队协作、学习能力、责任心、抗压能力六个维度的分项得分与分数涨跌情况。下方依次展示各企业HR留下的历史面试评价，每条评价卡片包含匿名企业信息、评价时间、星级评分、文字评语以及能力标签，且所有评价都带有平台已核实标识。页面底部附带评价规则说明，求职者如果对评价内容存在异议，可点击申诉入口提交申请。</w:t>
      </w:r>
      <w:r>
        <w:rPr>
          <w:rFonts w:hint="eastAsia" w:ascii="宋体" w:hAnsi="宋体" w:eastAsia="宋体" w:cs="宋体"/>
          <w:sz w:val="24"/>
          <w:szCs w:val="24"/>
          <w:lang w:val="en-US" w:eastAsia="zh-CN"/>
        </w:rPr>
        <w:t>评价数据在企业内部统一沉淀并高效复用，为人才长期经营与复评提供了稳定依据。HR评价详情页面如图29所示。</w:t>
      </w:r>
    </w:p>
    <w:tbl>
      <w:tblPr>
        <w:tblStyle w:val="3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5"/>
        <w:gridCol w:w="4425"/>
      </w:tblGrid>
      <w:tr w14:paraId="38529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7" w:type="dxa"/>
          </w:tcPr>
          <w:p w14:paraId="1D4A3217">
            <w:pPr>
              <w:jc w:val="center"/>
            </w:pPr>
            <w:r>
              <w:drawing>
                <wp:inline distT="0" distB="0" distL="114300" distR="114300">
                  <wp:extent cx="2286000" cy="58293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pic:cNvPicPr>
                        </pic:nvPicPr>
                        <pic:blipFill>
                          <a:blip r:embed="rId46"/>
                          <a:srcRect t="2316"/>
                          <a:stretch>
                            <a:fillRect/>
                          </a:stretch>
                        </pic:blipFill>
                        <pic:spPr>
                          <a:xfrm>
                            <a:off x="0" y="0"/>
                            <a:ext cx="2286000" cy="5829300"/>
                          </a:xfrm>
                          <a:prstGeom prst="rect">
                            <a:avLst/>
                          </a:prstGeom>
                        </pic:spPr>
                      </pic:pic>
                    </a:graphicData>
                  </a:graphic>
                </wp:inline>
              </w:drawing>
            </w:r>
          </w:p>
        </w:tc>
        <w:tc>
          <w:tcPr>
            <w:tcW w:w="4317" w:type="dxa"/>
          </w:tcPr>
          <w:p w14:paraId="068651EC">
            <w:pPr>
              <w:jc w:val="center"/>
            </w:pPr>
            <w:r>
              <w:drawing>
                <wp:inline distT="0" distB="0" distL="114300" distR="114300">
                  <wp:extent cx="2286000" cy="5800725"/>
                  <wp:effectExtent l="0" t="0" r="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pic:cNvPicPr>
                        </pic:nvPicPr>
                        <pic:blipFill>
                          <a:blip r:embed="rId47"/>
                          <a:stretch>
                            <a:fillRect/>
                          </a:stretch>
                        </pic:blipFill>
                        <pic:spPr>
                          <a:xfrm>
                            <a:off x="0" y="0"/>
                            <a:ext cx="2286000" cy="5800725"/>
                          </a:xfrm>
                          <a:prstGeom prst="rect">
                            <a:avLst/>
                          </a:prstGeom>
                        </pic:spPr>
                      </pic:pic>
                    </a:graphicData>
                  </a:graphic>
                </wp:inline>
              </w:drawing>
            </w:r>
          </w:p>
        </w:tc>
      </w:tr>
    </w:tbl>
    <w:p w14:paraId="38F699BF">
      <w:pPr>
        <w:spacing w:after="80" w:line="240" w:lineRule="auto"/>
        <w:jc w:val="center"/>
        <w:rPr>
          <w:rFonts w:hint="eastAsia"/>
        </w:rPr>
      </w:pPr>
      <w:r>
        <w:rPr>
          <w:b/>
          <w:sz w:val="20"/>
        </w:rPr>
        <w:t>图29 HR评价详情</w:t>
      </w:r>
    </w:p>
    <w:p w14:paraId="6774FC64">
      <w:pPr>
        <w:pStyle w:val="4"/>
        <w:spacing w:before="160" w:after="80" w:line="240" w:lineRule="auto"/>
        <w:rPr>
          <w:rFonts w:hint="eastAsia" w:eastAsia="黑体"/>
          <w:color w:val="auto"/>
          <w:lang w:eastAsia="zh-CN"/>
        </w:rPr>
      </w:pPr>
      <w:bookmarkStart w:id="13" w:name="_Toc239695483"/>
      <w:r>
        <w:rPr>
          <w:rFonts w:ascii="黑体" w:hAnsi="黑体" w:eastAsia="黑体"/>
          <w:color w:val="auto"/>
          <w:sz w:val="28"/>
        </w:rPr>
        <w:t>（八）企业端-评价与</w:t>
      </w:r>
      <w:bookmarkEnd w:id="13"/>
      <w:r>
        <w:rPr>
          <w:rFonts w:hint="eastAsia" w:ascii="黑体" w:hAnsi="黑体" w:eastAsia="黑体"/>
          <w:color w:val="auto"/>
          <w:sz w:val="28"/>
          <w:lang w:val="en-US" w:eastAsia="zh-CN"/>
        </w:rPr>
        <w:t>运营</w:t>
      </w:r>
    </w:p>
    <w:p w14:paraId="2970C4C9">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ascii="宋体" w:hAnsi="宋体" w:eastAsia="宋体" w:cs="宋体"/>
          <w:sz w:val="24"/>
          <w:szCs w:val="24"/>
        </w:rPr>
        <w:t>岗位评价管理页面为企业HR提供求职者面试评价的查看、处理与数据分析能力。页面顶部展示企业综合评分、行业对标情况、总评价数量，同时展示岗位真实性、回复及时度、面试体验、薪资透明度四项细分维度得分。评分趋势模块通过折线图呈现近6个月评分变化，直观反映口碑变动。各岗位评分列表展示不同岗位的星级得分、评价数量与行业排名，支持跳转查看岗位详情评价。下方评价列表区分好评、中评、差评标签，展示求职者匿名评价内容、标签、发布时间，HR可对评价执行回复、置顶、申诉、补充证据等操作。页面底部统计评价回复率，对比行业平均水平，展示待回复评价数量，提示及时处理评价，维护企业招聘口碑。</w:t>
      </w:r>
      <w:r>
        <w:rPr>
          <w:rFonts w:hint="eastAsia" w:cs="宋体"/>
          <w:sz w:val="24"/>
          <w:szCs w:val="24"/>
          <w:lang w:val="en-US" w:eastAsia="zh-CN"/>
        </w:rPr>
        <w:t>企业端</w:t>
      </w:r>
      <w:r>
        <w:rPr>
          <w:rFonts w:ascii="宋体" w:hAnsi="宋体" w:eastAsia="宋体" w:cs="宋体"/>
          <w:sz w:val="24"/>
          <w:szCs w:val="24"/>
        </w:rPr>
        <w:t>岗位评价管理页面</w:t>
      </w:r>
      <w:r>
        <w:rPr>
          <w:rFonts w:hint="eastAsia" w:cs="宋体"/>
          <w:sz w:val="24"/>
          <w:szCs w:val="24"/>
          <w:lang w:val="en-US" w:eastAsia="zh-CN"/>
        </w:rPr>
        <w:t>如图30所示。</w:t>
      </w:r>
    </w:p>
    <w:tbl>
      <w:tblPr>
        <w:tblStyle w:val="3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5"/>
        <w:gridCol w:w="4425"/>
      </w:tblGrid>
      <w:tr w14:paraId="15303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7" w:type="dxa"/>
          </w:tcPr>
          <w:p w14:paraId="7C1C71CE">
            <w:pPr>
              <w:jc w:val="center"/>
            </w:pPr>
            <w:r>
              <w:drawing>
                <wp:inline distT="0" distB="0" distL="114300" distR="114300">
                  <wp:extent cx="2011680" cy="5217795"/>
                  <wp:effectExtent l="0" t="0" r="7620" b="1905"/>
                  <wp:docPr id="2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39"/>
                          <pic:cNvPicPr>
                            <a:picLocks noChangeAspect="1"/>
                          </pic:cNvPicPr>
                        </pic:nvPicPr>
                        <pic:blipFill>
                          <a:blip r:embed="rId48"/>
                          <a:srcRect t="2502"/>
                          <a:stretch>
                            <a:fillRect/>
                          </a:stretch>
                        </pic:blipFill>
                        <pic:spPr>
                          <a:xfrm>
                            <a:off x="0" y="0"/>
                            <a:ext cx="2011680" cy="5217795"/>
                          </a:xfrm>
                          <a:prstGeom prst="rect">
                            <a:avLst/>
                          </a:prstGeom>
                        </pic:spPr>
                      </pic:pic>
                    </a:graphicData>
                  </a:graphic>
                </wp:inline>
              </w:drawing>
            </w:r>
          </w:p>
        </w:tc>
        <w:tc>
          <w:tcPr>
            <w:tcW w:w="4317" w:type="dxa"/>
          </w:tcPr>
          <w:p w14:paraId="22F05B79">
            <w:pPr>
              <w:jc w:val="center"/>
            </w:pPr>
            <w:r>
              <w:drawing>
                <wp:inline distT="0" distB="0" distL="114300" distR="114300">
                  <wp:extent cx="2011680" cy="5294630"/>
                  <wp:effectExtent l="0" t="0" r="7620" b="1270"/>
                  <wp:docPr id="2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40"/>
                          <pic:cNvPicPr>
                            <a:picLocks noChangeAspect="1"/>
                          </pic:cNvPicPr>
                        </pic:nvPicPr>
                        <pic:blipFill>
                          <a:blip r:embed="rId49"/>
                          <a:stretch>
                            <a:fillRect/>
                          </a:stretch>
                        </pic:blipFill>
                        <pic:spPr>
                          <a:xfrm>
                            <a:off x="0" y="0"/>
                            <a:ext cx="2011680" cy="5294630"/>
                          </a:xfrm>
                          <a:prstGeom prst="rect">
                            <a:avLst/>
                          </a:prstGeom>
                        </pic:spPr>
                      </pic:pic>
                    </a:graphicData>
                  </a:graphic>
                </wp:inline>
              </w:drawing>
            </w:r>
          </w:p>
        </w:tc>
      </w:tr>
    </w:tbl>
    <w:p w14:paraId="5A748565">
      <w:pPr>
        <w:spacing w:after="80" w:line="240" w:lineRule="auto"/>
        <w:jc w:val="center"/>
        <w:rPr>
          <w:rFonts w:hint="eastAsia"/>
          <w:b/>
          <w:sz w:val="20"/>
        </w:rPr>
      </w:pPr>
      <w:r>
        <w:rPr>
          <w:b/>
          <w:sz w:val="20"/>
        </w:rPr>
        <w:t>图3</w:t>
      </w:r>
      <w:r>
        <w:rPr>
          <w:rFonts w:hint="eastAsia"/>
          <w:b/>
          <w:sz w:val="20"/>
          <w:lang w:val="en-US" w:eastAsia="zh-CN"/>
        </w:rPr>
        <w:t>0</w:t>
      </w:r>
      <w:r>
        <w:rPr>
          <w:b/>
          <w:sz w:val="20"/>
        </w:rPr>
        <w:t xml:space="preserve"> 求职者端岗位评价管理</w:t>
      </w:r>
    </w:p>
    <w:p w14:paraId="0E9F0000">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default" w:eastAsia="宋体" w:cs="宋体"/>
          <w:sz w:val="24"/>
          <w:szCs w:val="24"/>
          <w:lang w:val="en-US" w:eastAsia="zh-CN"/>
        </w:rPr>
      </w:pPr>
      <w:r>
        <w:rPr>
          <w:rFonts w:ascii="宋体" w:hAnsi="宋体" w:eastAsia="宋体" w:cs="宋体"/>
          <w:sz w:val="24"/>
          <w:szCs w:val="24"/>
        </w:rPr>
        <w:t>运营规则配置页主要用于企业端配置双向匹配相关参数，实现候选人自动筛选与</w:t>
      </w:r>
      <w:bookmarkStart w:id="18" w:name="_GoBack"/>
      <w:r>
        <w:rPr>
          <w:rFonts w:ascii="宋体" w:hAnsi="宋体" w:eastAsia="宋体" w:cs="宋体"/>
          <w:sz w:val="24"/>
          <w:szCs w:val="24"/>
        </w:rPr>
        <w:t>智能</w:t>
      </w:r>
      <w:bookmarkEnd w:id="18"/>
      <w:r>
        <w:rPr>
          <w:rFonts w:ascii="宋体" w:hAnsi="宋体" w:eastAsia="宋体" w:cs="宋体"/>
          <w:sz w:val="24"/>
          <w:szCs w:val="24"/>
        </w:rPr>
        <w:t>推荐，右上角支持重置默认配置，也可跳转查看匹配算法说明。页面包含匹配模式、双向匹配阈值、自动筛选规则、推荐规则、通知设置模块。匹配模式提供精准、平衡、广泛三种选项，适配高标准招聘、常规招聘、急招等场景。双向匹配阈值通过滑动条设置企业、候选人两端匹配度门槛，双方均达标才触发双向匹配通知。自动筛选规则支持开启学历、经验、薪资、地域、稳定性、诚信记录等硬性筛选，</w:t>
      </w:r>
      <w:r>
        <w:rPr>
          <w:rFonts w:hint="eastAsia" w:cs="宋体"/>
          <w:sz w:val="24"/>
          <w:szCs w:val="24"/>
          <w:lang w:val="en-US" w:eastAsia="zh-CN"/>
        </w:rPr>
        <w:t>软件</w:t>
      </w:r>
      <w:r>
        <w:rPr>
          <w:rFonts w:ascii="宋体" w:hAnsi="宋体" w:eastAsia="宋体" w:cs="宋体"/>
          <w:sz w:val="24"/>
          <w:szCs w:val="24"/>
        </w:rPr>
        <w:t>据此过滤简历。推荐规则可调节每日推荐数量、优先级，支持多样性推荐与避免重复推荐。通知设置控制新候选人推荐提醒开关。配置完成后</w:t>
      </w:r>
      <w:r>
        <w:rPr>
          <w:rFonts w:hint="eastAsia" w:cs="宋体"/>
          <w:sz w:val="24"/>
          <w:szCs w:val="24"/>
          <w:lang w:val="en-US" w:eastAsia="zh-CN"/>
        </w:rPr>
        <w:t>软件</w:t>
      </w:r>
      <w:r>
        <w:rPr>
          <w:rFonts w:ascii="宋体" w:hAnsi="宋体" w:eastAsia="宋体" w:cs="宋体"/>
          <w:sz w:val="24"/>
          <w:szCs w:val="24"/>
        </w:rPr>
        <w:t>按新规则完成候选人筛选、匹配度计算与推荐通知，提升招聘匹配效率。运营规则配置页</w:t>
      </w:r>
      <w:r>
        <w:rPr>
          <w:rFonts w:hint="eastAsia" w:cs="宋体"/>
          <w:sz w:val="24"/>
          <w:szCs w:val="24"/>
          <w:lang w:val="en-US" w:eastAsia="zh-CN"/>
        </w:rPr>
        <w:t>面如图31所示。</w:t>
      </w:r>
    </w:p>
    <w:tbl>
      <w:tblPr>
        <w:tblStyle w:val="3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5"/>
        <w:gridCol w:w="4425"/>
      </w:tblGrid>
      <w:tr w14:paraId="4B6F5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7" w:type="dxa"/>
          </w:tcPr>
          <w:p w14:paraId="75572944">
            <w:pPr>
              <w:spacing w:after="80" w:line="240" w:lineRule="auto"/>
              <w:jc w:val="center"/>
              <w:rPr>
                <w:b/>
                <w:sz w:val="20"/>
              </w:rPr>
            </w:pPr>
            <w:r>
              <w:rPr>
                <w:b/>
                <w:sz w:val="20"/>
              </w:rPr>
              <w:drawing>
                <wp:inline distT="0" distB="0" distL="114300" distR="114300">
                  <wp:extent cx="2011680" cy="5323205"/>
                  <wp:effectExtent l="0" t="0" r="7620" b="1079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pic:cNvPicPr>
                        </pic:nvPicPr>
                        <pic:blipFill>
                          <a:blip r:embed="rId50"/>
                          <a:srcRect t="2588"/>
                          <a:stretch>
                            <a:fillRect/>
                          </a:stretch>
                        </pic:blipFill>
                        <pic:spPr>
                          <a:xfrm>
                            <a:off x="0" y="0"/>
                            <a:ext cx="2011680" cy="5323205"/>
                          </a:xfrm>
                          <a:prstGeom prst="rect">
                            <a:avLst/>
                          </a:prstGeom>
                        </pic:spPr>
                      </pic:pic>
                    </a:graphicData>
                  </a:graphic>
                </wp:inline>
              </w:drawing>
            </w:r>
          </w:p>
        </w:tc>
        <w:tc>
          <w:tcPr>
            <w:tcW w:w="4317" w:type="dxa"/>
          </w:tcPr>
          <w:p w14:paraId="6664477A">
            <w:pPr>
              <w:spacing w:after="80" w:line="240" w:lineRule="auto"/>
              <w:jc w:val="center"/>
              <w:rPr>
                <w:b/>
                <w:sz w:val="20"/>
              </w:rPr>
            </w:pPr>
            <w:r>
              <w:rPr>
                <w:b/>
                <w:sz w:val="20"/>
              </w:rPr>
              <w:drawing>
                <wp:inline distT="0" distB="0" distL="114300" distR="114300">
                  <wp:extent cx="2011680" cy="5339080"/>
                  <wp:effectExtent l="0" t="0" r="762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pic:cNvPicPr>
                        </pic:nvPicPr>
                        <pic:blipFill>
                          <a:blip r:embed="rId51"/>
                          <a:stretch>
                            <a:fillRect/>
                          </a:stretch>
                        </pic:blipFill>
                        <pic:spPr>
                          <a:xfrm>
                            <a:off x="0" y="0"/>
                            <a:ext cx="2011680" cy="5339080"/>
                          </a:xfrm>
                          <a:prstGeom prst="rect">
                            <a:avLst/>
                          </a:prstGeom>
                        </pic:spPr>
                      </pic:pic>
                    </a:graphicData>
                  </a:graphic>
                </wp:inline>
              </w:drawing>
            </w:r>
          </w:p>
        </w:tc>
      </w:tr>
    </w:tbl>
    <w:p w14:paraId="516B4445">
      <w:pPr>
        <w:spacing w:after="80" w:line="240" w:lineRule="auto"/>
        <w:jc w:val="center"/>
        <w:rPr>
          <w:b/>
          <w:sz w:val="20"/>
        </w:rPr>
      </w:pPr>
      <w:r>
        <w:rPr>
          <w:b/>
          <w:sz w:val="20"/>
        </w:rPr>
        <w:t>图3</w:t>
      </w:r>
      <w:r>
        <w:rPr>
          <w:rFonts w:hint="eastAsia"/>
          <w:b/>
          <w:sz w:val="20"/>
          <w:lang w:val="en-US" w:eastAsia="zh-CN"/>
        </w:rPr>
        <w:t>1</w:t>
      </w:r>
      <w:r>
        <w:rPr>
          <w:b/>
          <w:sz w:val="20"/>
        </w:rPr>
        <w:t xml:space="preserve"> 运营规则配置</w:t>
      </w:r>
    </w:p>
    <w:p w14:paraId="78D7ED6E">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default" w:ascii="宋体" w:hAnsi="宋体" w:eastAsia="宋体" w:cs="宋体"/>
          <w:sz w:val="24"/>
          <w:szCs w:val="24"/>
          <w:lang w:val="en-US"/>
        </w:rPr>
      </w:pPr>
      <w:r>
        <w:rPr>
          <w:rFonts w:hint="eastAsia" w:ascii="宋体" w:hAnsi="宋体" w:eastAsia="宋体" w:cs="宋体"/>
          <w:sz w:val="24"/>
          <w:szCs w:val="24"/>
          <w:lang w:val="en-US" w:eastAsia="zh-CN"/>
        </w:rPr>
        <w:t>评分申诉功能供企业与求职者对不合理评价发起申诉，申诉人需填写申诉理由，并视情况上传相应证据以支撑诉求；</w:t>
      </w:r>
      <w:r>
        <w:rPr>
          <w:rFonts w:hint="eastAsia" w:cs="宋体"/>
          <w:sz w:val="24"/>
          <w:szCs w:val="24"/>
          <w:lang w:val="en-US" w:eastAsia="zh-CN"/>
        </w:rPr>
        <w:t>软件</w:t>
      </w:r>
      <w:r>
        <w:rPr>
          <w:rFonts w:hint="eastAsia" w:ascii="宋体" w:hAnsi="宋体" w:eastAsia="宋体" w:cs="宋体"/>
          <w:sz w:val="24"/>
          <w:szCs w:val="24"/>
          <w:lang w:val="en-US" w:eastAsia="zh-CN"/>
        </w:rPr>
        <w:t>收到申诉后进入人工审核与复核流程，审核结果通过</w:t>
      </w:r>
      <w:r>
        <w:rPr>
          <w:rFonts w:hint="eastAsia" w:cs="宋体"/>
          <w:sz w:val="24"/>
          <w:szCs w:val="24"/>
          <w:lang w:val="en-US" w:eastAsia="zh-CN"/>
        </w:rPr>
        <w:t>软件</w:t>
      </w:r>
      <w:r>
        <w:rPr>
          <w:rFonts w:hint="eastAsia" w:ascii="宋体" w:hAnsi="宋体" w:eastAsia="宋体" w:cs="宋体"/>
          <w:sz w:val="24"/>
          <w:szCs w:val="24"/>
          <w:lang w:val="en-US" w:eastAsia="zh-CN"/>
        </w:rPr>
        <w:t>通知反馈给申诉双方。合理的申诉将触发评价的调整或下线处理，不合理的申诉则维持原评价，从而在保护各方评价表达自由的同时兼顾不同主体的合法权益，建立起公平、可依赖的评价争议解决渠道。评分申诉</w:t>
      </w:r>
      <w:r>
        <w:rPr>
          <w:rFonts w:hint="eastAsia" w:cs="宋体"/>
          <w:sz w:val="24"/>
          <w:szCs w:val="24"/>
          <w:lang w:val="en-US" w:eastAsia="zh-CN"/>
        </w:rPr>
        <w:t>页面如图32所示。</w:t>
      </w:r>
    </w:p>
    <w:p w14:paraId="25AA6BA2">
      <w:pPr>
        <w:spacing w:before="0" w:after="120" w:line="240" w:lineRule="auto"/>
        <w:jc w:val="center"/>
      </w:pPr>
      <w:r>
        <w:drawing>
          <wp:inline distT="0" distB="0" distL="0" distR="0">
            <wp:extent cx="2011680" cy="6362065"/>
            <wp:effectExtent l="0" t="0" r="762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52"/>
                    <a:srcRect t="1587"/>
                    <a:stretch>
                      <a:fillRect/>
                    </a:stretch>
                  </pic:blipFill>
                  <pic:spPr>
                    <a:xfrm>
                      <a:off x="0" y="0"/>
                      <a:ext cx="2011680" cy="6362065"/>
                    </a:xfrm>
                    <a:prstGeom prst="rect">
                      <a:avLst/>
                    </a:prstGeom>
                  </pic:spPr>
                </pic:pic>
              </a:graphicData>
            </a:graphic>
          </wp:inline>
        </w:drawing>
      </w:r>
    </w:p>
    <w:p w14:paraId="429C0624">
      <w:pPr>
        <w:spacing w:after="80" w:line="240" w:lineRule="auto"/>
        <w:jc w:val="center"/>
        <w:rPr>
          <w:rFonts w:hint="eastAsia"/>
        </w:rPr>
      </w:pPr>
      <w:r>
        <w:rPr>
          <w:b/>
          <w:sz w:val="20"/>
        </w:rPr>
        <w:t>图3</w:t>
      </w:r>
      <w:r>
        <w:rPr>
          <w:rFonts w:hint="eastAsia"/>
          <w:b/>
          <w:sz w:val="20"/>
          <w:lang w:val="en-US" w:eastAsia="zh-CN"/>
        </w:rPr>
        <w:t>2</w:t>
      </w:r>
      <w:r>
        <w:rPr>
          <w:b/>
          <w:sz w:val="20"/>
        </w:rPr>
        <w:t xml:space="preserve"> 评分申诉</w:t>
      </w:r>
    </w:p>
    <w:p w14:paraId="76A4680B">
      <w:pPr>
        <w:pStyle w:val="4"/>
        <w:spacing w:before="160" w:after="80" w:line="240" w:lineRule="auto"/>
        <w:rPr>
          <w:color w:val="auto"/>
        </w:rPr>
      </w:pPr>
      <w:bookmarkStart w:id="14" w:name="_Toc239695484"/>
      <w:r>
        <w:rPr>
          <w:rFonts w:ascii="黑体" w:hAnsi="黑体" w:eastAsia="黑体"/>
          <w:color w:val="auto"/>
          <w:sz w:val="28"/>
        </w:rPr>
        <w:t>（九）通用-我的与隐私设置</w:t>
      </w:r>
      <w:bookmarkEnd w:id="14"/>
    </w:p>
    <w:p w14:paraId="1C386D74">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求职者端“我的”</w:t>
      </w:r>
      <w:r>
        <w:rPr>
          <w:rFonts w:hint="eastAsia" w:cs="宋体"/>
          <w:sz w:val="24"/>
          <w:szCs w:val="24"/>
          <w:lang w:val="en-US" w:eastAsia="zh-CN"/>
        </w:rPr>
        <w:t>个人中心</w:t>
      </w:r>
      <w:r>
        <w:rPr>
          <w:rFonts w:hint="eastAsia" w:ascii="宋体" w:hAnsi="宋体" w:eastAsia="宋体" w:cs="宋体"/>
          <w:sz w:val="24"/>
          <w:szCs w:val="24"/>
          <w:lang w:val="en-US" w:eastAsia="zh-CN"/>
        </w:rPr>
        <w:t>页</w:t>
      </w:r>
      <w:r>
        <w:rPr>
          <w:rFonts w:hint="eastAsia" w:cs="宋体"/>
          <w:sz w:val="24"/>
          <w:szCs w:val="24"/>
          <w:lang w:val="en-US" w:eastAsia="zh-CN"/>
        </w:rPr>
        <w:t>为</w:t>
      </w:r>
      <w:r>
        <w:rPr>
          <w:rFonts w:ascii="宋体" w:hAnsi="宋体" w:eastAsia="宋体" w:cs="宋体"/>
          <w:sz w:val="24"/>
          <w:szCs w:val="24"/>
        </w:rPr>
        <w:t>求职者个人信息管理主页，用于展示个人综合评估分数、能力维度、求职意向以及荣誉勋章</w:t>
      </w:r>
      <w:r>
        <w:rPr>
          <w:rFonts w:hint="eastAsia" w:ascii="宋体" w:hAnsi="宋体" w:eastAsia="宋体" w:cs="宋体"/>
          <w:sz w:val="24"/>
          <w:szCs w:val="24"/>
          <w:lang w:val="en-US" w:eastAsia="zh-CN"/>
        </w:rPr>
        <w:t>。</w:t>
      </w:r>
    </w:p>
    <w:p w14:paraId="1711C2CC">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default" w:ascii="宋体" w:hAnsi="宋体" w:eastAsia="宋体" w:cs="宋体"/>
          <w:sz w:val="24"/>
          <w:szCs w:val="24"/>
          <w:lang w:val="en-US" w:eastAsia="zh-CN"/>
        </w:rPr>
      </w:pPr>
      <w:r>
        <w:rPr>
          <w:rFonts w:ascii="宋体" w:hAnsi="宋体" w:eastAsia="宋体" w:cs="宋体"/>
          <w:sz w:val="24"/>
          <w:szCs w:val="24"/>
        </w:rPr>
        <w:t>页面顶部展示用户头像、姓名、工作经验、学历、所在地等基础资料，支持资料编辑；同时展示综合评分、等级评价及能力雷达图，可提交评分申诉。八大维度评分板块展示教育背景、实习经历、专业技能、项目经验、证书资质、工作稳定性、诚信记录、薪资匹配度的分项得分，支持查看评分说明。求职偏好区域汇总期望职位、期望城市、期望薪资</w:t>
      </w:r>
      <w:r>
        <w:rPr>
          <w:rFonts w:hint="eastAsia" w:cs="宋体"/>
          <w:sz w:val="24"/>
          <w:szCs w:val="24"/>
          <w:lang w:val="en-US" w:eastAsia="zh-CN"/>
        </w:rPr>
        <w:t>等</w:t>
      </w:r>
      <w:r>
        <w:rPr>
          <w:rFonts w:ascii="宋体" w:hAnsi="宋体" w:eastAsia="宋体" w:cs="宋体"/>
          <w:sz w:val="24"/>
          <w:szCs w:val="24"/>
        </w:rPr>
        <w:t>信息。</w:t>
      </w:r>
      <w:r>
        <w:rPr>
          <w:rFonts w:hint="eastAsia" w:cs="宋体"/>
          <w:sz w:val="24"/>
          <w:szCs w:val="24"/>
          <w:lang w:val="en-US" w:eastAsia="zh-CN"/>
        </w:rPr>
        <w:t>“我的”(求职者端个人中心)页面如图33所示。</w:t>
      </w:r>
    </w:p>
    <w:p w14:paraId="5D5BBAB1">
      <w:pPr>
        <w:spacing w:before="0" w:after="120" w:line="240" w:lineRule="auto"/>
        <w:jc w:val="center"/>
        <w:rPr>
          <w:rFonts w:hint="eastAsia" w:eastAsia="宋体"/>
          <w:lang w:eastAsia="zh-CN"/>
        </w:rPr>
      </w:pPr>
      <w:r>
        <w:rPr>
          <w:rFonts w:hint="eastAsia" w:eastAsia="宋体"/>
          <w:lang w:eastAsia="zh-CN"/>
        </w:rPr>
        <w:drawing>
          <wp:inline distT="0" distB="0" distL="114300" distR="114300">
            <wp:extent cx="2493645" cy="5317490"/>
            <wp:effectExtent l="0" t="0" r="8255" b="3810"/>
            <wp:docPr id="4" name="图片 4" descr="ea78227af92147c26a139a0774ffa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a78227af92147c26a139a0774ffae26"/>
                    <pic:cNvPicPr>
                      <a:picLocks noChangeAspect="1"/>
                    </pic:cNvPicPr>
                  </pic:nvPicPr>
                  <pic:blipFill>
                    <a:blip r:embed="rId53"/>
                    <a:srcRect t="5261"/>
                    <a:stretch>
                      <a:fillRect/>
                    </a:stretch>
                  </pic:blipFill>
                  <pic:spPr>
                    <a:xfrm>
                      <a:off x="0" y="0"/>
                      <a:ext cx="2493645" cy="5317490"/>
                    </a:xfrm>
                    <a:prstGeom prst="rect">
                      <a:avLst/>
                    </a:prstGeom>
                  </pic:spPr>
                </pic:pic>
              </a:graphicData>
            </a:graphic>
          </wp:inline>
        </w:drawing>
      </w:r>
    </w:p>
    <w:p w14:paraId="7A727A5C">
      <w:pPr>
        <w:spacing w:after="80" w:line="240" w:lineRule="auto"/>
        <w:jc w:val="center"/>
        <w:rPr>
          <w:b/>
          <w:sz w:val="20"/>
        </w:rPr>
      </w:pPr>
      <w:r>
        <w:rPr>
          <w:b/>
          <w:sz w:val="20"/>
        </w:rPr>
        <w:t>图3</w:t>
      </w:r>
      <w:r>
        <w:rPr>
          <w:rFonts w:hint="eastAsia"/>
          <w:b/>
          <w:sz w:val="20"/>
          <w:lang w:val="en-US" w:eastAsia="zh-CN"/>
        </w:rPr>
        <w:t>3</w:t>
      </w:r>
      <w:r>
        <w:rPr>
          <w:b/>
          <w:sz w:val="20"/>
        </w:rPr>
        <w:t xml:space="preserve"> 我的（求职者端个人中心）</w:t>
      </w:r>
    </w:p>
    <w:p w14:paraId="268E841B">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ascii="宋体" w:hAnsi="宋体" w:eastAsia="宋体" w:cs="宋体"/>
          <w:sz w:val="24"/>
          <w:szCs w:val="24"/>
        </w:rPr>
        <w:t>企业端个人中心页面面向企业HR使用，展示企业基础资质信息与招聘业务统计数据。</w:t>
      </w:r>
    </w:p>
    <w:p w14:paraId="669DBE53">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default" w:ascii="宋体" w:hAnsi="宋体" w:eastAsia="宋体" w:cs="宋体"/>
          <w:sz w:val="24"/>
          <w:szCs w:val="24"/>
          <w:lang w:val="en-US" w:eastAsia="zh-CN"/>
        </w:rPr>
      </w:pPr>
      <w:r>
        <w:rPr>
          <w:rFonts w:ascii="宋体" w:hAnsi="宋体" w:eastAsia="宋体" w:cs="宋体"/>
          <w:sz w:val="24"/>
          <w:szCs w:val="24"/>
        </w:rPr>
        <w:t>页面顶部展示企业名称、认证标识、行业、规模、融资阶段，支持企业信息编辑与设置操作，同时展示在招岗位数量、本月投递总量。企业数据总览板块汇总本月总投递数、面试邀约数、录取数、入职数，附带数据环比变化，直观呈现招聘业务成效。岗位评分管理展示企业综合评分及岗位真实性、回复及时度、面试体验、薪资透明度等分项得分，体现企业招聘口碑</w:t>
      </w:r>
      <w:r>
        <w:rPr>
          <w:rFonts w:hint="eastAsia" w:ascii="宋体" w:hAnsi="宋体" w:eastAsia="宋体" w:cs="宋体"/>
          <w:sz w:val="24"/>
          <w:szCs w:val="24"/>
          <w:lang w:val="en-US" w:eastAsia="zh-CN"/>
        </w:rPr>
        <w:t>。</w:t>
      </w:r>
      <w:r>
        <w:rPr>
          <w:rFonts w:hint="eastAsia" w:cs="宋体"/>
          <w:sz w:val="24"/>
          <w:szCs w:val="24"/>
          <w:lang w:val="en-US" w:eastAsia="zh-CN"/>
        </w:rPr>
        <w:t>“我的”(企业端个人中心)页面如图34所示。</w:t>
      </w:r>
    </w:p>
    <w:p w14:paraId="3107B72D">
      <w:pPr>
        <w:spacing w:before="0" w:after="120" w:line="240" w:lineRule="auto"/>
        <w:jc w:val="center"/>
        <w:rPr>
          <w:rFonts w:hint="eastAsia" w:eastAsia="宋体"/>
          <w:lang w:eastAsia="zh-CN"/>
        </w:rPr>
      </w:pPr>
      <w:r>
        <w:rPr>
          <w:rFonts w:hint="eastAsia" w:eastAsia="宋体"/>
          <w:lang w:eastAsia="zh-CN"/>
        </w:rPr>
        <w:drawing>
          <wp:inline distT="0" distB="0" distL="114300" distR="114300">
            <wp:extent cx="2245995" cy="4355465"/>
            <wp:effectExtent l="0" t="0" r="1905" b="635"/>
            <wp:docPr id="17" name="图片 17" descr="我的 - 职来企业端 375w 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我的 - 职来企业端 375w light"/>
                    <pic:cNvPicPr>
                      <a:picLocks noChangeAspect="1"/>
                    </pic:cNvPicPr>
                  </pic:nvPicPr>
                  <pic:blipFill>
                    <a:blip r:embed="rId54"/>
                    <a:srcRect t="2949" b="11165"/>
                    <a:stretch>
                      <a:fillRect/>
                    </a:stretch>
                  </pic:blipFill>
                  <pic:spPr>
                    <a:xfrm>
                      <a:off x="0" y="0"/>
                      <a:ext cx="2245995" cy="4355465"/>
                    </a:xfrm>
                    <a:prstGeom prst="rect">
                      <a:avLst/>
                    </a:prstGeom>
                  </pic:spPr>
                </pic:pic>
              </a:graphicData>
            </a:graphic>
          </wp:inline>
        </w:drawing>
      </w:r>
    </w:p>
    <w:p w14:paraId="13EEE6C2">
      <w:pPr>
        <w:spacing w:after="80" w:line="240" w:lineRule="auto"/>
        <w:jc w:val="center"/>
        <w:rPr>
          <w:b/>
          <w:sz w:val="20"/>
        </w:rPr>
      </w:pPr>
      <w:r>
        <w:rPr>
          <w:b/>
          <w:sz w:val="20"/>
        </w:rPr>
        <w:t>图3</w:t>
      </w:r>
      <w:r>
        <w:rPr>
          <w:rFonts w:hint="eastAsia"/>
          <w:b/>
          <w:sz w:val="20"/>
          <w:lang w:val="en-US" w:eastAsia="zh-CN"/>
        </w:rPr>
        <w:t>4</w:t>
      </w:r>
      <w:r>
        <w:rPr>
          <w:b/>
          <w:sz w:val="20"/>
        </w:rPr>
        <w:t xml:space="preserve"> 我的（</w:t>
      </w:r>
      <w:r>
        <w:rPr>
          <w:rFonts w:hint="eastAsia"/>
          <w:b/>
          <w:sz w:val="20"/>
          <w:lang w:val="en-US" w:eastAsia="zh-CN"/>
        </w:rPr>
        <w:t>企业</w:t>
      </w:r>
      <w:r>
        <w:rPr>
          <w:b/>
          <w:sz w:val="20"/>
        </w:rPr>
        <w:t>端个人中心）</w:t>
      </w:r>
    </w:p>
    <w:p w14:paraId="56FEF333">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default" w:ascii="宋体" w:hAnsi="宋体" w:eastAsia="宋体" w:cs="宋体"/>
          <w:sz w:val="24"/>
          <w:szCs w:val="24"/>
          <w:lang w:val="en-US"/>
        </w:rPr>
      </w:pPr>
      <w:r>
        <w:rPr>
          <w:rFonts w:hint="eastAsia" w:ascii="宋体" w:hAnsi="宋体" w:eastAsia="宋体" w:cs="宋体"/>
          <w:sz w:val="24"/>
          <w:szCs w:val="24"/>
          <w:lang w:val="en-US" w:eastAsia="zh-CN"/>
        </w:rPr>
        <w:t>隐私设置页用于管理个人数据的安全性与可见权限，包括修改登录密码、管理与更换绑定手机号、设置简历与个人信息对企业是否可见</w:t>
      </w:r>
      <w:r>
        <w:rPr>
          <w:rFonts w:hint="eastAsia" w:cs="宋体"/>
          <w:sz w:val="24"/>
          <w:szCs w:val="24"/>
          <w:lang w:val="en-US" w:eastAsia="zh-CN"/>
        </w:rPr>
        <w:t>(求职端特有)</w:t>
      </w:r>
      <w:r>
        <w:rPr>
          <w:rFonts w:hint="eastAsia" w:ascii="宋体" w:hAnsi="宋体" w:eastAsia="宋体" w:cs="宋体"/>
          <w:sz w:val="24"/>
          <w:szCs w:val="24"/>
          <w:lang w:val="en-US" w:eastAsia="zh-CN"/>
        </w:rPr>
        <w:t>、控制各类消息通知开关等；</w:t>
      </w:r>
      <w:r>
        <w:rPr>
          <w:rFonts w:hint="eastAsia" w:cs="宋体"/>
          <w:sz w:val="24"/>
          <w:szCs w:val="24"/>
          <w:lang w:val="en-US" w:eastAsia="zh-CN"/>
        </w:rPr>
        <w:t>软件</w:t>
      </w:r>
      <w:r>
        <w:rPr>
          <w:rFonts w:hint="eastAsia" w:ascii="宋体" w:hAnsi="宋体" w:eastAsia="宋体" w:cs="宋体"/>
          <w:sz w:val="24"/>
          <w:szCs w:val="24"/>
          <w:lang w:val="en-US" w:eastAsia="zh-CN"/>
        </w:rPr>
        <w:t>对手机号、身份证号等敏感信息采取必要的保护措施，严格落实最小必要原则。页面同时提供个人数据导出、账号注销等个人信息权益入口，用户可依据自身需要灵活调整隐私策略，充分掌握个人数据的对外可见范围与使用边界。</w:t>
      </w:r>
      <w:r>
        <w:rPr>
          <w:rFonts w:hint="eastAsia" w:cs="宋体"/>
          <w:sz w:val="24"/>
          <w:szCs w:val="24"/>
          <w:lang w:val="en-US" w:eastAsia="zh-CN"/>
        </w:rPr>
        <w:t>隐私设置页面如图35所示。</w:t>
      </w:r>
    </w:p>
    <w:tbl>
      <w:tblPr>
        <w:tblStyle w:val="3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5"/>
        <w:gridCol w:w="4425"/>
      </w:tblGrid>
      <w:tr w14:paraId="75AE8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7" w:type="dxa"/>
          </w:tcPr>
          <w:p w14:paraId="471C4E5F">
            <w:pPr>
              <w:jc w:val="center"/>
            </w:pPr>
            <w:r>
              <w:drawing>
                <wp:inline distT="0" distB="0" distL="114300" distR="114300">
                  <wp:extent cx="2011680" cy="4959350"/>
                  <wp:effectExtent l="0" t="0" r="762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pic:cNvPicPr>
                        </pic:nvPicPr>
                        <pic:blipFill>
                          <a:blip r:embed="rId55"/>
                          <a:srcRect t="2997"/>
                          <a:stretch>
                            <a:fillRect/>
                          </a:stretch>
                        </pic:blipFill>
                        <pic:spPr>
                          <a:xfrm>
                            <a:off x="0" y="0"/>
                            <a:ext cx="2011680" cy="4959350"/>
                          </a:xfrm>
                          <a:prstGeom prst="rect">
                            <a:avLst/>
                          </a:prstGeom>
                        </pic:spPr>
                      </pic:pic>
                    </a:graphicData>
                  </a:graphic>
                </wp:inline>
              </w:drawing>
            </w:r>
          </w:p>
        </w:tc>
        <w:tc>
          <w:tcPr>
            <w:tcW w:w="4317" w:type="dxa"/>
          </w:tcPr>
          <w:p w14:paraId="2FBCA2B8">
            <w:pPr>
              <w:jc w:val="center"/>
            </w:pPr>
            <w:r>
              <w:drawing>
                <wp:inline distT="0" distB="0" distL="114300" distR="114300">
                  <wp:extent cx="2011680" cy="4911090"/>
                  <wp:effectExtent l="0" t="0" r="762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pic:cNvPicPr>
                        </pic:nvPicPr>
                        <pic:blipFill>
                          <a:blip r:embed="rId56"/>
                          <a:stretch>
                            <a:fillRect/>
                          </a:stretch>
                        </pic:blipFill>
                        <pic:spPr>
                          <a:xfrm>
                            <a:off x="0" y="0"/>
                            <a:ext cx="2011680" cy="4911090"/>
                          </a:xfrm>
                          <a:prstGeom prst="rect">
                            <a:avLst/>
                          </a:prstGeom>
                        </pic:spPr>
                      </pic:pic>
                    </a:graphicData>
                  </a:graphic>
                </wp:inline>
              </w:drawing>
            </w:r>
          </w:p>
        </w:tc>
      </w:tr>
    </w:tbl>
    <w:p w14:paraId="24FABC55">
      <w:pPr>
        <w:spacing w:after="80" w:line="240" w:lineRule="auto"/>
        <w:jc w:val="center"/>
        <w:rPr>
          <w:rFonts w:hint="eastAsia" w:ascii="宋体" w:hAnsi="宋体" w:eastAsia="宋体" w:cs="宋体"/>
          <w:sz w:val="24"/>
          <w:szCs w:val="24"/>
          <w:lang w:val="en-US" w:eastAsia="zh-CN"/>
        </w:rPr>
      </w:pPr>
      <w:r>
        <w:rPr>
          <w:b/>
          <w:sz w:val="20"/>
        </w:rPr>
        <w:t>图3</w:t>
      </w:r>
      <w:r>
        <w:rPr>
          <w:rFonts w:hint="eastAsia"/>
          <w:b/>
          <w:sz w:val="20"/>
          <w:lang w:val="en-US" w:eastAsia="zh-CN"/>
        </w:rPr>
        <w:t>5</w:t>
      </w:r>
      <w:r>
        <w:rPr>
          <w:b/>
          <w:sz w:val="20"/>
        </w:rPr>
        <w:t xml:space="preserve"> 隐私设置</w:t>
      </w:r>
    </w:p>
    <w:p w14:paraId="4217C772">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个人数据导出页支持用户一键导出包含个人资料、简历、投递、面试、Offer、评价等在内的全部个人数据为归档文件，满足用户对个人数据的可携带权诉求。</w:t>
      </w:r>
    </w:p>
    <w:p w14:paraId="5F4EE3C4">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个人数据导出页支持用户一键导出其在</w:t>
      </w:r>
      <w:r>
        <w:rPr>
          <w:rFonts w:hint="eastAsia" w:cs="宋体"/>
          <w:sz w:val="24"/>
          <w:szCs w:val="24"/>
          <w:lang w:val="en-US" w:eastAsia="zh-CN"/>
        </w:rPr>
        <w:t>软件</w:t>
      </w:r>
      <w:r>
        <w:rPr>
          <w:rFonts w:hint="eastAsia" w:ascii="宋体" w:hAnsi="宋体" w:eastAsia="宋体" w:cs="宋体"/>
          <w:sz w:val="24"/>
          <w:szCs w:val="24"/>
          <w:lang w:val="en-US" w:eastAsia="zh-CN"/>
        </w:rPr>
        <w:t>中的全部个人数据，导出范围涵盖个人资料、简历、投递记录、面试记录、Offer、评价与被评价内容等，并统一打包整理成可供用户长期保存的归档文件；导出请求以异步方式处理，完成后用户可在导出列表中下载。该功能充分保障了用户对个人数据的可携带权与知情权，符合个人信息保护相关要求，也让用户在离开</w:t>
      </w:r>
      <w:r>
        <w:rPr>
          <w:rFonts w:hint="eastAsia" w:cs="宋体"/>
          <w:sz w:val="24"/>
          <w:szCs w:val="24"/>
          <w:lang w:val="en-US" w:eastAsia="zh-CN"/>
        </w:rPr>
        <w:t>软件</w:t>
      </w:r>
      <w:r>
        <w:rPr>
          <w:rFonts w:hint="eastAsia" w:ascii="宋体" w:hAnsi="宋体" w:eastAsia="宋体" w:cs="宋体"/>
          <w:sz w:val="24"/>
          <w:szCs w:val="24"/>
          <w:lang w:val="en-US" w:eastAsia="zh-CN"/>
        </w:rPr>
        <w:t>或申请注销时能够完整留存属于自己的数据。</w:t>
      </w:r>
      <w:r>
        <w:rPr>
          <w:rFonts w:hint="eastAsia" w:cs="宋体"/>
          <w:sz w:val="24"/>
          <w:szCs w:val="24"/>
          <w:lang w:val="en-US" w:eastAsia="zh-CN"/>
        </w:rPr>
        <w:t>个人数据报告如图36所示。</w:t>
      </w:r>
    </w:p>
    <w:tbl>
      <w:tblPr>
        <w:tblStyle w:val="3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5"/>
        <w:gridCol w:w="4425"/>
      </w:tblGrid>
      <w:tr w14:paraId="61578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7" w:type="dxa"/>
          </w:tcPr>
          <w:p w14:paraId="3C8B4341">
            <w:pPr>
              <w:jc w:val="center"/>
            </w:pPr>
            <w:r>
              <w:drawing>
                <wp:inline distT="0" distB="0" distL="114300" distR="114300">
                  <wp:extent cx="2011680" cy="4630420"/>
                  <wp:effectExtent l="0" t="0" r="762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57"/>
                          <a:srcRect t="2623"/>
                          <a:stretch>
                            <a:fillRect/>
                          </a:stretch>
                        </pic:blipFill>
                        <pic:spPr>
                          <a:xfrm>
                            <a:off x="0" y="0"/>
                            <a:ext cx="2011680" cy="4630420"/>
                          </a:xfrm>
                          <a:prstGeom prst="rect">
                            <a:avLst/>
                          </a:prstGeom>
                        </pic:spPr>
                      </pic:pic>
                    </a:graphicData>
                  </a:graphic>
                </wp:inline>
              </w:drawing>
            </w:r>
          </w:p>
        </w:tc>
        <w:tc>
          <w:tcPr>
            <w:tcW w:w="4317" w:type="dxa"/>
          </w:tcPr>
          <w:p w14:paraId="0B1AE8C6">
            <w:pPr>
              <w:jc w:val="center"/>
            </w:pPr>
            <w:r>
              <w:drawing>
                <wp:inline distT="0" distB="0" distL="114300" distR="114300">
                  <wp:extent cx="2011680" cy="4645025"/>
                  <wp:effectExtent l="0" t="0" r="762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58"/>
                          <a:stretch>
                            <a:fillRect/>
                          </a:stretch>
                        </pic:blipFill>
                        <pic:spPr>
                          <a:xfrm>
                            <a:off x="0" y="0"/>
                            <a:ext cx="2011680" cy="4645025"/>
                          </a:xfrm>
                          <a:prstGeom prst="rect">
                            <a:avLst/>
                          </a:prstGeom>
                        </pic:spPr>
                      </pic:pic>
                    </a:graphicData>
                  </a:graphic>
                </wp:inline>
              </w:drawing>
            </w:r>
          </w:p>
        </w:tc>
      </w:tr>
    </w:tbl>
    <w:p w14:paraId="707473FD">
      <w:pPr>
        <w:spacing w:after="80" w:line="240" w:lineRule="auto"/>
        <w:jc w:val="center"/>
        <w:rPr>
          <w:rFonts w:hint="eastAsia"/>
        </w:rPr>
      </w:pPr>
      <w:r>
        <w:rPr>
          <w:b/>
          <w:sz w:val="20"/>
        </w:rPr>
        <w:t>图3</w:t>
      </w:r>
      <w:r>
        <w:rPr>
          <w:rFonts w:hint="eastAsia"/>
          <w:b/>
          <w:sz w:val="20"/>
          <w:lang w:val="en-US" w:eastAsia="zh-CN"/>
        </w:rPr>
        <w:t>6</w:t>
      </w:r>
      <w:r>
        <w:rPr>
          <w:b/>
          <w:sz w:val="20"/>
        </w:rPr>
        <w:t xml:space="preserve"> 个人数据导出</w:t>
      </w:r>
    </w:p>
    <w:p w14:paraId="3E92AE91">
      <w:pPr>
        <w:pStyle w:val="3"/>
        <w:numPr>
          <w:ilvl w:val="0"/>
          <w:numId w:val="8"/>
        </w:numPr>
        <w:spacing w:before="240" w:after="120" w:line="240" w:lineRule="auto"/>
        <w:rPr>
          <w:rFonts w:ascii="黑体" w:hAnsi="黑体" w:eastAsia="黑体"/>
          <w:color w:val="auto"/>
          <w:sz w:val="32"/>
        </w:rPr>
      </w:pPr>
      <w:bookmarkStart w:id="15" w:name="_Toc239695485"/>
      <w:r>
        <w:rPr>
          <w:rFonts w:ascii="黑体" w:hAnsi="黑体" w:eastAsia="黑体"/>
          <w:color w:val="auto"/>
          <w:sz w:val="32"/>
        </w:rPr>
        <w:t>软件</w:t>
      </w:r>
      <w:bookmarkEnd w:id="15"/>
      <w:r>
        <w:rPr>
          <w:rFonts w:hint="eastAsia" w:ascii="黑体" w:hAnsi="黑体" w:eastAsia="黑体"/>
          <w:color w:val="auto"/>
          <w:sz w:val="32"/>
          <w:lang w:val="en-US" w:eastAsia="zh-CN"/>
        </w:rPr>
        <w:t>结束</w:t>
      </w:r>
    </w:p>
    <w:p w14:paraId="52D692A2">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default" w:eastAsia="宋体"/>
          <w:lang w:val="en-US" w:eastAsia="zh-CN"/>
        </w:rPr>
      </w:pPr>
      <w:r>
        <w:rPr>
          <w:rFonts w:hint="eastAsia" w:ascii="宋体" w:hAnsi="宋体" w:eastAsia="宋体" w:cs="宋体"/>
          <w:sz w:val="24"/>
          <w:szCs w:val="24"/>
          <w:lang w:val="en-US" w:eastAsia="zh-CN"/>
        </w:rPr>
        <w:t>本软件未设置独立的“退出”按钮，用户退出应用可通过以下任一方式：一是按下移动端Home键将应用切至后台，应用将进入后台运行状态并在</w:t>
      </w:r>
      <w:r>
        <w:rPr>
          <w:rFonts w:hint="eastAsia" w:cs="宋体"/>
          <w:sz w:val="24"/>
          <w:szCs w:val="24"/>
          <w:lang w:val="en-US" w:eastAsia="zh-CN"/>
        </w:rPr>
        <w:t>软件</w:t>
      </w:r>
      <w:r>
        <w:rPr>
          <w:rFonts w:hint="eastAsia" w:ascii="宋体" w:hAnsi="宋体" w:eastAsia="宋体" w:cs="宋体"/>
          <w:sz w:val="24"/>
          <w:szCs w:val="24"/>
          <w:lang w:val="en-US" w:eastAsia="zh-CN"/>
        </w:rPr>
        <w:t>资源紧张时被回收；二是通过移动端任务管理器上滑清除应用进程以彻底退出；三是在“我的—设置”中点击“退出登录”以清除本地登录态并返回登录页，再次进入应用时需重新登录。</w:t>
      </w:r>
    </w:p>
    <w:p w14:paraId="3B80B378">
      <w:pPr>
        <w:pStyle w:val="3"/>
        <w:spacing w:before="240" w:after="120" w:line="240" w:lineRule="auto"/>
        <w:rPr>
          <w:rFonts w:hint="default" w:eastAsia="黑体"/>
          <w:color w:val="auto"/>
          <w:lang w:val="en-US" w:eastAsia="zh-CN"/>
        </w:rPr>
      </w:pPr>
      <w:bookmarkStart w:id="16" w:name="_Toc239695492"/>
      <w:r>
        <w:rPr>
          <w:rFonts w:ascii="黑体" w:hAnsi="黑体" w:eastAsia="黑体"/>
          <w:color w:val="auto"/>
          <w:sz w:val="32"/>
        </w:rPr>
        <w:t>七、</w:t>
      </w:r>
      <w:bookmarkEnd w:id="16"/>
      <w:r>
        <w:rPr>
          <w:rFonts w:hint="eastAsia" w:ascii="黑体" w:hAnsi="黑体" w:eastAsia="黑体"/>
          <w:color w:val="auto"/>
          <w:sz w:val="32"/>
          <w:lang w:val="en-US" w:eastAsia="zh-CN"/>
        </w:rPr>
        <w:t>其他功能</w:t>
      </w:r>
    </w:p>
    <w:p w14:paraId="3662F917">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bookmarkStart w:id="17" w:name="_Toc239695493"/>
      <w:r>
        <w:rPr>
          <w:rFonts w:hint="eastAsia" w:ascii="宋体" w:hAnsi="宋体" w:eastAsia="宋体" w:cs="宋体"/>
          <w:sz w:val="24"/>
          <w:szCs w:val="24"/>
          <w:lang w:val="en-US" w:eastAsia="zh-CN"/>
        </w:rPr>
        <w:t>除上述主线功能外，本软件还内置多项辅助与安全激励功能：</w:t>
      </w:r>
    </w:p>
    <w:p w14:paraId="41764A89">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隐私保护：用户可在隐私设置中控制简历对HR可见性、是否允许被推荐至人才池、是否对外展示竞争力排名等开关项，并支持一键导出全部个人数据以满足可携带权诉求</w:t>
      </w:r>
      <w:r>
        <w:rPr>
          <w:rFonts w:hint="eastAsia" w:cs="宋体"/>
          <w:sz w:val="24"/>
          <w:szCs w:val="24"/>
          <w:lang w:val="en-US" w:eastAsia="zh-CN"/>
        </w:rPr>
        <w:t>。</w:t>
      </w:r>
      <w:bookmarkEnd w:id="17"/>
    </w:p>
    <w:p w14:paraId="64D42FA1">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未认证限制提示：未通过企业实名认证的HR用户，在访问人才推荐、岗位管理、候选人详情等敏感功能时，</w:t>
      </w:r>
      <w:r>
        <w:rPr>
          <w:rFonts w:hint="eastAsia" w:cs="宋体"/>
          <w:sz w:val="24"/>
          <w:szCs w:val="24"/>
          <w:lang w:val="en-US" w:eastAsia="zh-CN"/>
        </w:rPr>
        <w:t>软件</w:t>
      </w:r>
      <w:r>
        <w:rPr>
          <w:rFonts w:hint="eastAsia" w:ascii="宋体" w:hAnsi="宋体" w:eastAsia="宋体" w:cs="宋体"/>
          <w:sz w:val="24"/>
          <w:szCs w:val="24"/>
          <w:lang w:val="en-US" w:eastAsia="zh-CN"/>
        </w:rPr>
        <w:t>会弹出认证引导提示，并在认证完成前限制相应操作的权限，引导其先行完成企业认证。</w:t>
      </w:r>
    </w:p>
    <w:p w14:paraId="15AEA189">
      <w:pPr>
        <w:keepNext w:val="0"/>
        <w:keepLines w:val="0"/>
        <w:pageBreakBefore w:val="0"/>
        <w:widowControl/>
        <w:kinsoku/>
        <w:wordWrap/>
        <w:overflowPunct/>
        <w:topLinePunct w:val="0"/>
        <w:autoSpaceDE/>
        <w:autoSpaceDN/>
        <w:bidi w:val="0"/>
        <w:adjustRightInd/>
        <w:snapToGrid/>
        <w:spacing w:after="0" w:line="312"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人工审核与防刷审计：岗位评价、企业认证申请、申诉等关键内容，均由运营管理员人工审核后再行发布。</w:t>
      </w:r>
      <w:r>
        <w:rPr>
          <w:rFonts w:hint="eastAsia" w:cs="宋体"/>
          <w:sz w:val="24"/>
          <w:szCs w:val="24"/>
          <w:lang w:val="en-US" w:eastAsia="zh-CN"/>
        </w:rPr>
        <w:t>软件</w:t>
      </w:r>
      <w:r>
        <w:rPr>
          <w:rFonts w:hint="eastAsia" w:ascii="宋体" w:hAnsi="宋体" w:eastAsia="宋体" w:cs="宋体"/>
          <w:sz w:val="24"/>
          <w:szCs w:val="24"/>
          <w:lang w:val="en-US" w:eastAsia="zh-CN"/>
        </w:rPr>
        <w:t>同步基于用户行为日志进行异常检测，针对投递、评价、面试评分等高频操作识别异常模式，支持对可疑账号一键封禁，并可导出审计明细作为记录留存。投递频率限制、评价字数下限、申诉时效、防刷阈值等风控参数，均可在后台灵活调整，以适配不同阶段的运营需要。</w:t>
      </w:r>
    </w:p>
    <w:sectPr>
      <w:footerReference r:id="rId8" w:type="default"/>
      <w:pgSz w:w="12240" w:h="15840"/>
      <w:pgMar w:top="1440" w:right="1803" w:bottom="1440" w:left="1803" w:header="720" w:footer="720" w:gutter="0"/>
      <w:pgNumType w:fmt="decimal"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宋体"/>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Microsoft JhengHei">
    <w:panose1 w:val="020B0604030504040204"/>
    <w:charset w:val="88"/>
    <w:family w:val="swiss"/>
    <w:pitch w:val="default"/>
    <w:sig w:usb0="000002A7" w:usb1="28CF4400" w:usb2="00000016" w:usb3="00000000" w:csb0="00100009"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C1265">
    <w:pPr>
      <w:pStyle w:val="24"/>
      <w:tabs>
        <w:tab w:val="center" w:pos="4317"/>
        <w:tab w:val="clear" w:pos="4680"/>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644B4">
    <w:pPr>
      <w:pStyle w:val="24"/>
      <w:tabs>
        <w:tab w:val="left" w:pos="3792"/>
        <w:tab w:val="clear" w:pos="4680"/>
      </w:tabs>
      <w:rPr>
        <w:rFonts w:hint="eastAsia" w:eastAsia="宋体"/>
        <w:lang w:eastAsia="zh-CN"/>
      </w:rPr>
    </w:pP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41792">
    <w:pPr>
      <w:pStyle w:val="24"/>
      <w:tabs>
        <w:tab w:val="left" w:pos="3792"/>
        <w:tab w:val="clear" w:pos="4680"/>
      </w:tabs>
      <w:rPr>
        <w:rFonts w:hint="eastAsia" w:eastAsia="宋体"/>
        <w:lang w:eastAsia="zh-CN"/>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02ADB1">
                          <w:pPr>
                            <w:pStyle w:val="24"/>
                          </w:pPr>
                          <w:r>
                            <w:fldChar w:fldCharType="begin"/>
                          </w:r>
                          <w:r>
                            <w:instrText xml:space="preserve"> PAGE  \* MERGEFORMAT </w:instrText>
                          </w:r>
                          <w:r>
                            <w:fldChar w:fldCharType="separate"/>
                          </w:r>
                          <w:r>
                            <w:t>１</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2702ADB1">
                    <w:pPr>
                      <w:pStyle w:val="24"/>
                    </w:pPr>
                    <w:r>
                      <w:fldChar w:fldCharType="begin"/>
                    </w:r>
                    <w:r>
                      <w:instrText xml:space="preserve"> PAGE  \* MERGEFORMAT </w:instrText>
                    </w:r>
                    <w:r>
                      <w:fldChar w:fldCharType="separate"/>
                    </w:r>
                    <w:r>
                      <w:t>１</w:t>
                    </w:r>
                    <w:r>
                      <w:fldChar w:fldCharType="end"/>
                    </w: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AF04E">
    <w:pPr>
      <w:spacing w:line="231" w:lineRule="exact"/>
      <w:ind w:left="20" w:firstLine="360"/>
      <w:jc w:val="center"/>
      <w:rPr>
        <w:rFonts w:ascii="Times New Roman" w:eastAsia="Times New Roman"/>
        <w:sz w:val="18"/>
      </w:rPr>
    </w:pPr>
    <w:r>
      <w:rPr>
        <w:sz w:val="20"/>
      </w:rPr>
      <mc:AlternateContent>
        <mc:Choice Requires="wps">
          <w:drawing>
            <wp:anchor distT="0" distB="0" distL="0" distR="0" simplePos="0" relativeHeight="251659264" behindDoc="1" locked="0" layoutInCell="1" allowOverlap="1">
              <wp:simplePos x="0" y="0"/>
              <wp:positionH relativeFrom="page">
                <wp:posOffset>1093470</wp:posOffset>
              </wp:positionH>
              <wp:positionV relativeFrom="page">
                <wp:posOffset>630555</wp:posOffset>
              </wp:positionV>
              <wp:extent cx="5568315" cy="9525"/>
              <wp:effectExtent l="0" t="0" r="0" b="0"/>
              <wp:wrapNone/>
              <wp:docPr id="1137647082" name="Graphic 1"/>
              <wp:cNvGraphicFramePr/>
              <a:graphic xmlns:a="http://schemas.openxmlformats.org/drawingml/2006/main">
                <a:graphicData uri="http://schemas.microsoft.com/office/word/2010/wordprocessingShape">
                  <wps:wsp>
                    <wps:cNvSpPr/>
                    <wps:spPr>
                      <a:xfrm>
                        <a:off x="0" y="0"/>
                        <a:ext cx="5568315" cy="9525"/>
                      </a:xfrm>
                      <a:custGeom>
                        <a:avLst/>
                        <a:gdLst/>
                        <a:ahLst/>
                        <a:cxnLst/>
                        <a:rect l="l" t="t" r="r" b="b"/>
                        <a:pathLst>
                          <a:path w="5568315" h="9525">
                            <a:moveTo>
                              <a:pt x="5568061" y="0"/>
                            </a:moveTo>
                            <a:lnTo>
                              <a:pt x="0" y="0"/>
                            </a:lnTo>
                            <a:lnTo>
                              <a:pt x="0" y="9144"/>
                            </a:lnTo>
                            <a:lnTo>
                              <a:pt x="5568061" y="9144"/>
                            </a:lnTo>
                            <a:lnTo>
                              <a:pt x="5568061" y="0"/>
                            </a:lnTo>
                            <a:close/>
                          </a:path>
                        </a:pathLst>
                      </a:custGeom>
                      <a:solidFill>
                        <a:srgbClr val="000000"/>
                      </a:solidFill>
                    </wps:spPr>
                    <wps:bodyPr wrap="square" lIns="0" tIns="0" rIns="0" bIns="0" rtlCol="0">
                      <a:noAutofit/>
                    </wps:bodyPr>
                  </wps:wsp>
                </a:graphicData>
              </a:graphic>
            </wp:anchor>
          </w:drawing>
        </mc:Choice>
        <mc:Fallback>
          <w:pict>
            <v:shape id="Graphic 1" o:spid="_x0000_s1026" o:spt="100" style="position:absolute;left:0pt;margin-left:86.1pt;margin-top:49.65pt;height:0.75pt;width:438.45pt;mso-position-horizontal-relative:page;mso-position-vertical-relative:page;z-index:-251657216;mso-width-relative:page;mso-height-relative:page;" fillcolor="#000000" filled="t" stroked="f" coordsize="5568315,9525" o:gfxdata="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BwcvNkAAAALAQAADwAAAAAAAAABACAAAAAiAAAAZHJzL2Rvd25yZXYueG1sUEsBAhQA&#10;FAAAAAgAh07iQI8mvQ8qAgAA5QQAAA4AAAAAAAAAAQAgAAAAKAEAAGRycy9lMm9Eb2MueG1sUEsF&#10;BgAAAAAGAAYAWQEAAMQFAAAAAA==&#10;" path="m5568061,0l0,0,0,9144,5568061,9144,5568061,0xe">
              <v:fill on="t" focussize="0,0"/>
              <v:stroke on="f"/>
              <v:imagedata o:title=""/>
              <o:lock v:ext="edit" aspectratio="f"/>
              <v:textbox inset="0mm,0mm,0mm,0mm"/>
            </v:shape>
          </w:pict>
        </mc:Fallback>
      </mc:AlternateContent>
    </w:r>
    <w:r>
      <w:rPr>
        <w:rFonts w:hint="eastAsia"/>
        <w:sz w:val="20"/>
        <w:lang w:val="en-US" w:eastAsia="zh-CN"/>
      </w:rPr>
      <w:t>轻松聘</w:t>
    </w:r>
    <w:r>
      <w:rPr>
        <w:rFonts w:hint="eastAsia"/>
        <w:sz w:val="18"/>
        <w:szCs w:val="18"/>
      </w:rPr>
      <w:t>-智能招聘求职服务APP</w:t>
    </w:r>
    <w:r>
      <w:rPr>
        <w:rFonts w:ascii="Times New Roman" w:eastAsia="Times New Roman"/>
        <w:spacing w:val="-4"/>
        <w:sz w:val="18"/>
      </w:rPr>
      <w:t>V1.0</w:t>
    </w:r>
  </w:p>
  <w:p w14:paraId="54FAD905">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5DC930"/>
    <w:multiLevelType w:val="singleLevel"/>
    <w:tmpl w:val="B65DC930"/>
    <w:lvl w:ilvl="0" w:tentative="0">
      <w:start w:val="6"/>
      <w:numFmt w:val="chineseCounting"/>
      <w:suff w:val="nothing"/>
      <w:lvlText w:val="%1、"/>
      <w:lvlJc w:val="left"/>
      <w:rPr>
        <w:rFonts w:hint="eastAsia"/>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7">
    <w:nsid w:val="6F1311D7"/>
    <w:multiLevelType w:val="singleLevel"/>
    <w:tmpl w:val="6F1311D7"/>
    <w:lvl w:ilvl="0" w:tentative="0">
      <w:start w:val="2"/>
      <w:numFmt w:val="chineseCounting"/>
      <w:suff w:val="nothing"/>
      <w:lvlText w:val="%1、"/>
      <w:lvlJc w:val="left"/>
      <w:rPr>
        <w:rFonts w:hint="eastAsia"/>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3688E"/>
    <w:rsid w:val="0015074B"/>
    <w:rsid w:val="0029639D"/>
    <w:rsid w:val="00326F90"/>
    <w:rsid w:val="008A5D77"/>
    <w:rsid w:val="008F72CE"/>
    <w:rsid w:val="00AA1D8D"/>
    <w:rsid w:val="00AE4492"/>
    <w:rsid w:val="00B47730"/>
    <w:rsid w:val="00CB0664"/>
    <w:rsid w:val="00CD70B1"/>
    <w:rsid w:val="00FC693F"/>
    <w:rsid w:val="021E056F"/>
    <w:rsid w:val="05AB0D34"/>
    <w:rsid w:val="05EC67F9"/>
    <w:rsid w:val="064D422B"/>
    <w:rsid w:val="07967C23"/>
    <w:rsid w:val="086724C2"/>
    <w:rsid w:val="09D53E30"/>
    <w:rsid w:val="0ACE58FF"/>
    <w:rsid w:val="0C595851"/>
    <w:rsid w:val="0D6D35A4"/>
    <w:rsid w:val="102A0A8F"/>
    <w:rsid w:val="1046122A"/>
    <w:rsid w:val="125C3106"/>
    <w:rsid w:val="12A57514"/>
    <w:rsid w:val="12D004B7"/>
    <w:rsid w:val="14755C6E"/>
    <w:rsid w:val="15243626"/>
    <w:rsid w:val="154020D1"/>
    <w:rsid w:val="17103546"/>
    <w:rsid w:val="17D05227"/>
    <w:rsid w:val="17D75700"/>
    <w:rsid w:val="186074F4"/>
    <w:rsid w:val="1ABC0338"/>
    <w:rsid w:val="1C226A8A"/>
    <w:rsid w:val="1DA029F5"/>
    <w:rsid w:val="21434FAD"/>
    <w:rsid w:val="2208388A"/>
    <w:rsid w:val="263A2B6C"/>
    <w:rsid w:val="27270D07"/>
    <w:rsid w:val="287B22ED"/>
    <w:rsid w:val="2A69187D"/>
    <w:rsid w:val="2D185C10"/>
    <w:rsid w:val="2D525F23"/>
    <w:rsid w:val="3131648A"/>
    <w:rsid w:val="355C665B"/>
    <w:rsid w:val="35B9536A"/>
    <w:rsid w:val="3AAD0FC0"/>
    <w:rsid w:val="3B314FDD"/>
    <w:rsid w:val="3D6E7EA5"/>
    <w:rsid w:val="3D7F0355"/>
    <w:rsid w:val="40356427"/>
    <w:rsid w:val="413A0F29"/>
    <w:rsid w:val="41830C78"/>
    <w:rsid w:val="420E056E"/>
    <w:rsid w:val="43A47369"/>
    <w:rsid w:val="457E7D19"/>
    <w:rsid w:val="46CC554F"/>
    <w:rsid w:val="47985604"/>
    <w:rsid w:val="480C143E"/>
    <w:rsid w:val="48F32CDD"/>
    <w:rsid w:val="495D5349"/>
    <w:rsid w:val="49E04762"/>
    <w:rsid w:val="4B094CE2"/>
    <w:rsid w:val="4C8919D0"/>
    <w:rsid w:val="4CE049BE"/>
    <w:rsid w:val="4D0B6EFA"/>
    <w:rsid w:val="4F356D83"/>
    <w:rsid w:val="502F1DF4"/>
    <w:rsid w:val="521256F6"/>
    <w:rsid w:val="548968E9"/>
    <w:rsid w:val="55F01A5D"/>
    <w:rsid w:val="56EC2FA7"/>
    <w:rsid w:val="5BB40990"/>
    <w:rsid w:val="5C5F225B"/>
    <w:rsid w:val="5E0E49C3"/>
    <w:rsid w:val="5EBD3D5F"/>
    <w:rsid w:val="5FE1765C"/>
    <w:rsid w:val="60AD595F"/>
    <w:rsid w:val="6224154E"/>
    <w:rsid w:val="63F71380"/>
    <w:rsid w:val="642F3009"/>
    <w:rsid w:val="646A4041"/>
    <w:rsid w:val="65803F95"/>
    <w:rsid w:val="666D1BC7"/>
    <w:rsid w:val="67962EA7"/>
    <w:rsid w:val="67B4104A"/>
    <w:rsid w:val="68195E58"/>
    <w:rsid w:val="687052D2"/>
    <w:rsid w:val="698E4A5F"/>
    <w:rsid w:val="6ABD4211"/>
    <w:rsid w:val="6B4228A4"/>
    <w:rsid w:val="6D627CD4"/>
    <w:rsid w:val="6DAC7479"/>
    <w:rsid w:val="6E1D4FAB"/>
    <w:rsid w:val="708F1C2E"/>
    <w:rsid w:val="70F40417"/>
    <w:rsid w:val="71D62D16"/>
    <w:rsid w:val="74D3354F"/>
    <w:rsid w:val="75492373"/>
    <w:rsid w:val="766E7FAE"/>
    <w:rsid w:val="76916271"/>
    <w:rsid w:val="76937428"/>
    <w:rsid w:val="771A4CBB"/>
    <w:rsid w:val="77997C45"/>
    <w:rsid w:val="77BB28A6"/>
    <w:rsid w:val="793D4469"/>
    <w:rsid w:val="7D834497"/>
    <w:rsid w:val="7EB9294C"/>
    <w:rsid w:val="7F8D4D2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4"/>
      <w:szCs w:val="22"/>
      <w:lang w:val="en-US" w:eastAsia="en-US" w:bidi="ar-SA"/>
    </w:rPr>
  </w:style>
  <w:style w:type="paragraph" w:styleId="3">
    <w:name w:val="heading 1"/>
    <w:basedOn w:val="1"/>
    <w:next w:val="1"/>
    <w:link w:val="142"/>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3"/>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4"/>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5"/>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6"/>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7"/>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8"/>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9"/>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5">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macro"/>
    <w:link w:val="1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50"/>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8"/>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40"/>
    <w:unhideWhenUsed/>
    <w:qFormat/>
    <w:uiPriority w:val="99"/>
    <w:pPr>
      <w:tabs>
        <w:tab w:val="center" w:pos="4680"/>
        <w:tab w:val="right" w:pos="9360"/>
      </w:tabs>
      <w:spacing w:after="0" w:line="240" w:lineRule="auto"/>
    </w:pPr>
  </w:style>
  <w:style w:type="paragraph" w:styleId="25">
    <w:name w:val="header"/>
    <w:basedOn w:val="1"/>
    <w:link w:val="139"/>
    <w:unhideWhenUsed/>
    <w:qFormat/>
    <w:uiPriority w:val="99"/>
    <w:pPr>
      <w:tabs>
        <w:tab w:val="center" w:pos="4680"/>
        <w:tab w:val="right" w:pos="9360"/>
      </w:tabs>
      <w:spacing w:after="0" w:line="240" w:lineRule="auto"/>
    </w:pPr>
  </w:style>
  <w:style w:type="paragraph" w:styleId="26">
    <w:name w:val="toc 1"/>
    <w:basedOn w:val="1"/>
    <w:next w:val="1"/>
    <w:autoRedefine/>
    <w:unhideWhenUsed/>
    <w:qFormat/>
    <w:uiPriority w:val="39"/>
  </w:style>
  <w:style w:type="paragraph" w:styleId="27">
    <w:name w:val="Subtitle"/>
    <w:basedOn w:val="1"/>
    <w:next w:val="1"/>
    <w:link w:val="146"/>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toc 2"/>
    <w:basedOn w:val="1"/>
    <w:next w:val="1"/>
    <w:autoRedefine/>
    <w:unhideWhenUsed/>
    <w:qFormat/>
    <w:uiPriority w:val="39"/>
    <w:pPr>
      <w:ind w:left="420" w:leftChars="200"/>
    </w:pPr>
  </w:style>
  <w:style w:type="paragraph" w:styleId="30">
    <w:name w:val="Body Text 2"/>
    <w:basedOn w:val="1"/>
    <w:link w:val="149"/>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3">
    <w:name w:val="List Continue 3"/>
    <w:basedOn w:val="1"/>
    <w:unhideWhenUsed/>
    <w:qFormat/>
    <w:uiPriority w:val="99"/>
    <w:pPr>
      <w:spacing w:after="120"/>
      <w:ind w:left="1080"/>
      <w:contextualSpacing/>
    </w:pPr>
  </w:style>
  <w:style w:type="paragraph" w:styleId="34">
    <w:name w:val="Title"/>
    <w:basedOn w:val="1"/>
    <w:link w:val="145"/>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6">
    <w:name w:val="Table Grid"/>
    <w:basedOn w:val="3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7">
    <w:name w:val="Light Shading"/>
    <w:basedOn w:val="35"/>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35"/>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35"/>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35"/>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35"/>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35"/>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35"/>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35"/>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35"/>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35"/>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35"/>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35"/>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35"/>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35"/>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35"/>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35"/>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35"/>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35"/>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35"/>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35"/>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35"/>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35"/>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35"/>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35"/>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35"/>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35"/>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35"/>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35"/>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6">
    <w:name w:val="Strong"/>
    <w:basedOn w:val="135"/>
    <w:qFormat/>
    <w:uiPriority w:val="22"/>
    <w:rPr>
      <w:b/>
      <w:bCs/>
    </w:rPr>
  </w:style>
  <w:style w:type="character" w:styleId="137">
    <w:name w:val="Emphasis"/>
    <w:basedOn w:val="135"/>
    <w:qFormat/>
    <w:uiPriority w:val="20"/>
    <w:rPr>
      <w:i/>
      <w:iCs/>
    </w:rPr>
  </w:style>
  <w:style w:type="character" w:styleId="138">
    <w:name w:val="Hyperlink"/>
    <w:basedOn w:val="135"/>
    <w:unhideWhenUsed/>
    <w:qFormat/>
    <w:uiPriority w:val="99"/>
    <w:rPr>
      <w:color w:val="0000FF" w:themeColor="hyperlink"/>
      <w:u w:val="single"/>
      <w14:textFill>
        <w14:solidFill>
          <w14:schemeClr w14:val="hlink"/>
        </w14:solidFill>
      </w14:textFill>
    </w:rPr>
  </w:style>
  <w:style w:type="character" w:customStyle="1" w:styleId="139">
    <w:name w:val="页眉 字符"/>
    <w:basedOn w:val="135"/>
    <w:link w:val="25"/>
    <w:qFormat/>
    <w:uiPriority w:val="99"/>
  </w:style>
  <w:style w:type="character" w:customStyle="1" w:styleId="140">
    <w:name w:val="页脚 字符"/>
    <w:basedOn w:val="135"/>
    <w:link w:val="24"/>
    <w:qFormat/>
    <w:uiPriority w:val="99"/>
  </w:style>
  <w:style w:type="paragraph" w:styleId="141">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2">
    <w:name w:val="标题 1 字符"/>
    <w:basedOn w:val="135"/>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3">
    <w:name w:val="标题 2 字符"/>
    <w:basedOn w:val="135"/>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4">
    <w:name w:val="标题 3 字符"/>
    <w:basedOn w:val="135"/>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5">
    <w:name w:val="标题 字符"/>
    <w:basedOn w:val="135"/>
    <w:link w:val="3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6">
    <w:name w:val="副标题 字符"/>
    <w:basedOn w:val="135"/>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7">
    <w:name w:val="List Paragraph"/>
    <w:basedOn w:val="1"/>
    <w:qFormat/>
    <w:uiPriority w:val="34"/>
    <w:pPr>
      <w:ind w:left="720"/>
      <w:contextualSpacing/>
    </w:pPr>
  </w:style>
  <w:style w:type="character" w:customStyle="1" w:styleId="148">
    <w:name w:val="正文文本 字符"/>
    <w:basedOn w:val="135"/>
    <w:link w:val="19"/>
    <w:qFormat/>
    <w:uiPriority w:val="99"/>
  </w:style>
  <w:style w:type="character" w:customStyle="1" w:styleId="149">
    <w:name w:val="正文文本 2 字符"/>
    <w:basedOn w:val="135"/>
    <w:link w:val="30"/>
    <w:qFormat/>
    <w:uiPriority w:val="99"/>
  </w:style>
  <w:style w:type="character" w:customStyle="1" w:styleId="150">
    <w:name w:val="正文文本 3 字符"/>
    <w:basedOn w:val="135"/>
    <w:link w:val="17"/>
    <w:qFormat/>
    <w:uiPriority w:val="99"/>
    <w:rPr>
      <w:sz w:val="16"/>
      <w:szCs w:val="16"/>
    </w:rPr>
  </w:style>
  <w:style w:type="character" w:customStyle="1" w:styleId="151">
    <w:name w:val="宏文本 字符"/>
    <w:basedOn w:val="135"/>
    <w:link w:val="2"/>
    <w:qFormat/>
    <w:uiPriority w:val="99"/>
    <w:rPr>
      <w:rFonts w:ascii="Courier" w:hAnsi="Courier"/>
      <w:sz w:val="20"/>
      <w:szCs w:val="20"/>
    </w:rPr>
  </w:style>
  <w:style w:type="paragraph" w:styleId="152">
    <w:name w:val="Quote"/>
    <w:basedOn w:val="1"/>
    <w:next w:val="1"/>
    <w:link w:val="153"/>
    <w:qFormat/>
    <w:uiPriority w:val="29"/>
    <w:rPr>
      <w:i/>
      <w:iCs/>
      <w:color w:val="000000" w:themeColor="text1"/>
      <w14:textFill>
        <w14:solidFill>
          <w14:schemeClr w14:val="tx1"/>
        </w14:solidFill>
      </w14:textFill>
    </w:rPr>
  </w:style>
  <w:style w:type="character" w:customStyle="1" w:styleId="153">
    <w:name w:val="引用 字符"/>
    <w:basedOn w:val="135"/>
    <w:link w:val="152"/>
    <w:qFormat/>
    <w:uiPriority w:val="29"/>
    <w:rPr>
      <w:i/>
      <w:iCs/>
      <w:color w:val="000000" w:themeColor="text1"/>
      <w14:textFill>
        <w14:solidFill>
          <w14:schemeClr w14:val="tx1"/>
        </w14:solidFill>
      </w14:textFill>
    </w:rPr>
  </w:style>
  <w:style w:type="character" w:customStyle="1" w:styleId="154">
    <w:name w:val="标题 4 字符"/>
    <w:basedOn w:val="135"/>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5">
    <w:name w:val="标题 5 字符"/>
    <w:basedOn w:val="135"/>
    <w:link w:val="7"/>
    <w:semiHidden/>
    <w:qFormat/>
    <w:uiPriority w:val="9"/>
    <w:rPr>
      <w:rFonts w:asciiTheme="majorHAnsi" w:hAnsiTheme="majorHAnsi" w:eastAsiaTheme="majorEastAsia" w:cstheme="majorBidi"/>
      <w:color w:val="254061" w:themeColor="accent1" w:themeShade="80"/>
    </w:rPr>
  </w:style>
  <w:style w:type="character" w:customStyle="1" w:styleId="156">
    <w:name w:val="标题 6 字符"/>
    <w:basedOn w:val="135"/>
    <w:link w:val="8"/>
    <w:semiHidden/>
    <w:qFormat/>
    <w:uiPriority w:val="9"/>
    <w:rPr>
      <w:rFonts w:asciiTheme="majorHAnsi" w:hAnsiTheme="majorHAnsi" w:eastAsiaTheme="majorEastAsia" w:cstheme="majorBidi"/>
      <w:i/>
      <w:iCs/>
      <w:color w:val="254061" w:themeColor="accent1" w:themeShade="80"/>
    </w:rPr>
  </w:style>
  <w:style w:type="character" w:customStyle="1" w:styleId="157">
    <w:name w:val="标题 7 字符"/>
    <w:basedOn w:val="135"/>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8">
    <w:name w:val="标题 8 字符"/>
    <w:basedOn w:val="135"/>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9">
    <w:name w:val="标题 9 字符"/>
    <w:basedOn w:val="135"/>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0">
    <w:name w:val="Intense Quote"/>
    <w:basedOn w:val="1"/>
    <w:next w:val="1"/>
    <w:link w:val="161"/>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1">
    <w:name w:val="明显引用 字符"/>
    <w:basedOn w:val="135"/>
    <w:link w:val="160"/>
    <w:qFormat/>
    <w:uiPriority w:val="30"/>
    <w:rPr>
      <w:b/>
      <w:bCs/>
      <w:i/>
      <w:iCs/>
      <w:color w:val="4F81BD" w:themeColor="accent1"/>
      <w14:textFill>
        <w14:solidFill>
          <w14:schemeClr w14:val="accent1"/>
        </w14:solidFill>
      </w14:textFill>
    </w:rPr>
  </w:style>
  <w:style w:type="character" w:customStyle="1" w:styleId="162">
    <w:name w:val="Subtle Emphasis"/>
    <w:basedOn w:val="135"/>
    <w:qFormat/>
    <w:uiPriority w:val="19"/>
    <w:rPr>
      <w:i/>
      <w:iCs/>
      <w:color w:val="808080" w:themeColor="text1" w:themeTint="80"/>
      <w14:textFill>
        <w14:solidFill>
          <w14:schemeClr w14:val="tx1">
            <w14:lumMod w14:val="50000"/>
            <w14:lumOff w14:val="50000"/>
          </w14:schemeClr>
        </w14:solidFill>
      </w14:textFill>
    </w:rPr>
  </w:style>
  <w:style w:type="character" w:customStyle="1" w:styleId="163">
    <w:name w:val="Intense Emphasis"/>
    <w:basedOn w:val="135"/>
    <w:qFormat/>
    <w:uiPriority w:val="21"/>
    <w:rPr>
      <w:b/>
      <w:bCs/>
      <w:i/>
      <w:iCs/>
      <w:color w:val="4F81BD" w:themeColor="accent1"/>
      <w14:textFill>
        <w14:solidFill>
          <w14:schemeClr w14:val="accent1"/>
        </w14:solidFill>
      </w14:textFill>
    </w:rPr>
  </w:style>
  <w:style w:type="character" w:customStyle="1" w:styleId="164">
    <w:name w:val="Subtle Reference"/>
    <w:basedOn w:val="135"/>
    <w:qFormat/>
    <w:uiPriority w:val="31"/>
    <w:rPr>
      <w:smallCaps/>
      <w:color w:val="C0504D" w:themeColor="accent2"/>
      <w:u w:val="single"/>
      <w14:textFill>
        <w14:solidFill>
          <w14:schemeClr w14:val="accent2"/>
        </w14:solidFill>
      </w14:textFill>
    </w:rPr>
  </w:style>
  <w:style w:type="character" w:customStyle="1" w:styleId="165">
    <w:name w:val="Intense Reference"/>
    <w:basedOn w:val="135"/>
    <w:qFormat/>
    <w:uiPriority w:val="32"/>
    <w:rPr>
      <w:b/>
      <w:bCs/>
      <w:smallCaps/>
      <w:color w:val="C0504D" w:themeColor="accent2"/>
      <w:spacing w:val="5"/>
      <w:u w:val="single"/>
      <w14:textFill>
        <w14:solidFill>
          <w14:schemeClr w14:val="accent2"/>
        </w14:solidFill>
      </w14:textFill>
    </w:rPr>
  </w:style>
  <w:style w:type="character" w:customStyle="1" w:styleId="166">
    <w:name w:val="Book Title"/>
    <w:basedOn w:val="135"/>
    <w:qFormat/>
    <w:uiPriority w:val="33"/>
    <w:rPr>
      <w:b/>
      <w:bCs/>
      <w:smallCaps/>
      <w:spacing w:val="5"/>
    </w:rPr>
  </w:style>
  <w:style w:type="paragraph" w:customStyle="1" w:styleId="167">
    <w:name w:val="TOC Heading"/>
    <w:basedOn w:val="3"/>
    <w:next w:val="1"/>
    <w:semiHidden/>
    <w:unhideWhenUsed/>
    <w:qFormat/>
    <w:uiPriority w:val="39"/>
    <w:pPr>
      <w:outlineLvl w:val="9"/>
    </w:pPr>
  </w:style>
  <w:style w:type="table" w:customStyle="1" w:styleId="168">
    <w:name w:val="Table Normal"/>
    <w:semiHidden/>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2" Type="http://schemas.openxmlformats.org/officeDocument/2006/relationships/fontTable" Target="fontTable.xml"/><Relationship Id="rId61" Type="http://schemas.openxmlformats.org/officeDocument/2006/relationships/customXml" Target="../customXml/item2.xml"/><Relationship Id="rId60" Type="http://schemas.openxmlformats.org/officeDocument/2006/relationships/numbering" Target="numbering.xml"/><Relationship Id="rId6" Type="http://schemas.openxmlformats.org/officeDocument/2006/relationships/footer" Target="footer1.xml"/><Relationship Id="rId59" Type="http://schemas.openxmlformats.org/officeDocument/2006/relationships/customXml" Target="../customXml/item1.xml"/><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1.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endnotes" Target="endnotes.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jpeg"/><Relationship Id="rId30" Type="http://schemas.openxmlformats.org/officeDocument/2006/relationships/image" Target="media/image21.png"/><Relationship Id="rId3" Type="http://schemas.openxmlformats.org/officeDocument/2006/relationships/footnotes" Target="footnotes.xml"/><Relationship Id="rId29" Type="http://schemas.openxmlformats.org/officeDocument/2006/relationships/image" Target="media/image20.png"/><Relationship Id="rId28" Type="http://schemas.openxmlformats.org/officeDocument/2006/relationships/image" Target="media/image19.jpe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jpe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1943</Words>
  <Characters>2284</Characters>
  <Lines>69</Lines>
  <Paragraphs>19</Paragraphs>
  <TotalTime>15</TotalTime>
  <ScaleCrop>false</ScaleCrop>
  <LinksUpToDate>false</LinksUpToDate>
  <CharactersWithSpaces>2305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杂破</cp:lastModifiedBy>
  <dcterms:modified xsi:type="dcterms:W3CDTF">2026-09-22T04:54:41Z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eyJoZGlkIjoiYzNkYjdlNzMxMzk0MjQ2ZTc4MDY5MWMwYjgzMTA4MTIiLCJ1c2VySWQiOiIxNTcwODA4MTg3In0=</vt:lpwstr>
  </property>
  <property fmtid="{D5CDD505-2E9C-101B-9397-08002B2CF9AE}" pid="3" name="KSOProductBuildVer">
    <vt:lpwstr>2052-12.1.0.28505</vt:lpwstr>
  </property>
  <property fmtid="{D5CDD505-2E9C-101B-9397-08002B2CF9AE}" pid="4" name="ICV">
    <vt:lpwstr>481B73E6BD38411F9759E7D0BA2C923B_13</vt:lpwstr>
  </property>
</Properties>
</file>